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0720EB13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F13CB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86DC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550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26EB0567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86DC3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6D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55025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C084A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Предузеће послује као јединствена радна целина. Свој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пословање организује кроз рад сектора као организационих делова</w:t>
      </w:r>
    </w:p>
    <w:p w14:paraId="7E96BE0B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1.Сектор за правне и опште послове</w:t>
      </w:r>
    </w:p>
    <w:p w14:paraId="7805B0EA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послове заступања пред судом и другим надлежним органима,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поступке тужења корисника услуга, саставља уговоре, интерна акта предузећа,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административне и курирске послове, послове јавних набавки и набавки,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безбедности и здравља на раду,послове противпожарне заштите,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из области радних односа, припрема седнице органа управљања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радних тела, послови одржавања хигијене објеката.</w:t>
      </w:r>
    </w:p>
    <w:p w14:paraId="0D610A34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2.Сектор за економске,финансијске и књиговодствене послове</w:t>
      </w:r>
    </w:p>
    <w:p w14:paraId="5ED136D8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примену међународних рачуновоствених стандарда, евиденцију свих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пословних промена на имовини и средствима предузећа, утврђивање резултата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пословања, израда извештаја, оперативни и благајнички послови, послови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платног промета, послови контроле улазне и излазне документације, 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посебних евиденција прописаних законом, израда интерних аката и елабората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попису, израда извештаја и анализа пословних резултата, обрачун зарада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накнада, послови достављања фактура и рачуна добављачима и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услуга.</w:t>
      </w:r>
    </w:p>
    <w:p w14:paraId="1B31E106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3.Сектор управљања комуналним отпадом</w:t>
      </w:r>
    </w:p>
    <w:p w14:paraId="639273E0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комуналним отпадом : сакупљање комуналног отпада, његово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одвожење, третман и безбедно одлагање укључујући управљање, одржавање,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санирање и затварање депонија. У оквиру послова овог сектора је и пражњење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септичких јама. У циљу задовољавања потреба корисника услуга врши набавку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продају канти и контејнера.У оквиру сектора се налазе и послови одржавања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возног парка.</w:t>
      </w:r>
    </w:p>
    <w:p w14:paraId="04744A45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4.Сектор рециклаже</w:t>
      </w:r>
    </w:p>
    <w:p w14:paraId="7C51F023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прикупљање,сепарацију секундарних сировина,њихово складиштење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даљи третман.</w:t>
      </w:r>
    </w:p>
    <w:p w14:paraId="6E765BF5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5.Сектор одржавања чистоће на површинама јавне намене</w:t>
      </w:r>
    </w:p>
    <w:p w14:paraId="4DB2BFE9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 : чишћење и прање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асфалтираних, бетонских, поплочаних и других површина јавне намене,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 xml:space="preserve">прикупљање и одвожење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комуналног отпада са тих површина, одржавање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пражњење посуда за отпатке на површинама јавне намене као и одржавање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јавних чесми, фонтана, купалишта и тоалета као комуналних објеката.</w:t>
      </w:r>
    </w:p>
    <w:p w14:paraId="5D793BDD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6.Сектор“Градско зеленило“</w:t>
      </w:r>
    </w:p>
    <w:p w14:paraId="0EFA6E8C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одржавање и санацију зелених рекреативних површина и приобаља. Бави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производњом цвећа и садног материјала.</w:t>
      </w:r>
    </w:p>
    <w:p w14:paraId="386F9B7F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7.Сектор “Градска гробља“</w:t>
      </w:r>
    </w:p>
    <w:p w14:paraId="2CAD182D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и одржавање гробаља, одржавање гробног места и наплата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накнаде за одржавање гробног места, обезбеђивање, давање у закуп и продаја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уређених гробних места, покопавање и ексхумација посмртних остатака,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остављање пепела покојника, одржавање објеката који се налазе у склопу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гробља (мртвачница, капела и др). Одржавање пасивних гробаља и спомен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обележја.Обавља грађевинске радове на гробљима, 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набавку,складиштење и продају погребне опреме и остале опреме за гробља.</w:t>
      </w:r>
    </w:p>
    <w:p w14:paraId="0785434E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8.Сектор зоохигијене</w:t>
      </w:r>
    </w:p>
    <w:p w14:paraId="1E73A95B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Делатност сектора зоохигијене је: хватање, превоз, збрињавање и смештај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напуштених и изгубљених животиња у прихватилиште, контрола и смањење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популације напуштених и изгубљених паса и мачака, нешкодљиво уклањање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транспорт лешева животиња са јавних површина и објеката за узгој, држање,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дресуру, излагање, одржавање такмичења или промет животиња до објеката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сакупљање, прераду или уништавање споредних производа животињског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порекла, спровођење мера за смањење популације глодара, инсеката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штетних микроорганизама.</w:t>
      </w:r>
    </w:p>
    <w:p w14:paraId="5634CD5E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9.Сектор паркинг контроле</w:t>
      </w:r>
    </w:p>
    <w:p w14:paraId="42B769A9" w14:textId="77777777" w:rsidR="00BA52F8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 јавним паркиралиштима односно вршење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одржавања јавних паркиралишта и простора за паркирање на обележеним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местима,организација и вршење контроле и наплате паркирања, уклањање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непрописно паркираних возила, одбачених или остављених возила,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теће активности везане за рад паркиралишта.</w:t>
      </w:r>
    </w:p>
    <w:p w14:paraId="405C447B" w14:textId="77777777" w:rsidR="00BA52F8" w:rsidRDefault="00BA52F8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7C05C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2840D185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231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/1-2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07F43B58" w14:textId="2CAF36EA" w:rsidR="003C225B" w:rsidRPr="000B0577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4966B3E5" w:rsidR="005E7EE4" w:rsidRPr="00B713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 w:rsidRPr="00B7136E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B713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управљања комуналним отпадом</w:t>
      </w:r>
    </w:p>
    <w:p w14:paraId="72CC5EE2" w14:textId="03E01F20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EB0595" w:rsidRPr="00B7136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 w:rsidRPr="00B7136E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врши</w:t>
      </w:r>
      <w:r w:rsidR="00EB0595" w:rsidRPr="00B7136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</w:t>
      </w:r>
      <w:r w:rsidR="004D5890" w:rsidRPr="00B7136E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Брдо, Поћута, Јовања, Ровни и туристичком месту Дивчибаре.</w:t>
      </w:r>
    </w:p>
    <w:p w14:paraId="25610162" w14:textId="77777777" w:rsidR="005E7EE4" w:rsidRPr="00B713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B713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5C3BAC23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</w:t>
      </w:r>
      <w:r w:rsidR="004D5890" w:rsidRPr="00B7136E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6B3E5243" w:rsidR="005E7EE4" w:rsidRPr="00B713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C6675A" w:rsidRPr="00B713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B713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 w:rsidRPr="00B713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6675A" w:rsidRPr="00B7136E">
        <w:rPr>
          <w:rFonts w:ascii="Times New Roman" w:hAnsi="Times New Roman" w:cs="Times New Roman"/>
          <w:sz w:val="24"/>
          <w:szCs w:val="24"/>
          <w:lang w:val="sr-Latn-RS"/>
        </w:rPr>
        <w:t>7.068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, од чега се </w:t>
      </w:r>
      <w:r w:rsidR="00C6675A" w:rsidRPr="00B7136E">
        <w:rPr>
          <w:rFonts w:ascii="Times New Roman" w:hAnsi="Times New Roman" w:cs="Times New Roman"/>
          <w:sz w:val="24"/>
          <w:szCs w:val="24"/>
          <w:lang w:val="sr-Latn-RS"/>
        </w:rPr>
        <w:t xml:space="preserve">25.367 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>односи на физичка, а 1.</w:t>
      </w:r>
      <w:r w:rsidR="00C6675A" w:rsidRPr="00B7136E">
        <w:rPr>
          <w:rFonts w:ascii="Times New Roman" w:hAnsi="Times New Roman" w:cs="Times New Roman"/>
          <w:sz w:val="24"/>
          <w:szCs w:val="24"/>
          <w:lang w:val="sr-Latn-RS"/>
        </w:rPr>
        <w:t>701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B7136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73CC0" w:rsidRPr="00B7136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C03EA" w:rsidRPr="00B7136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C6675A" w:rsidRPr="00B713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B7136E" w:rsidRPr="00B7136E">
        <w:rPr>
          <w:rFonts w:ascii="Times New Roman" w:hAnsi="Times New Roman" w:cs="Times New Roman"/>
          <w:sz w:val="24"/>
          <w:szCs w:val="24"/>
        </w:rPr>
        <w:t>37.348.44</w:t>
      </w:r>
      <w:r w:rsidR="00F73CC0" w:rsidRPr="00B7136E">
        <w:rPr>
          <w:rFonts w:ascii="Times New Roman" w:hAnsi="Times New Roman" w:cs="Times New Roman"/>
          <w:sz w:val="24"/>
          <w:szCs w:val="24"/>
        </w:rPr>
        <w:t xml:space="preserve"> 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69B8BE2D" w:rsidR="005E7EE4" w:rsidRPr="00B713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7136E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B713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7136E" w:rsidRPr="00B7136E">
        <w:rPr>
          <w:rFonts w:ascii="Times New Roman" w:hAnsi="Times New Roman" w:cs="Times New Roman"/>
          <w:sz w:val="24"/>
          <w:szCs w:val="24"/>
          <w:lang w:val="sr-Latn-RS"/>
        </w:rPr>
        <w:t>168.61</w:t>
      </w:r>
      <w:r w:rsidR="00F73CC0" w:rsidRPr="00B713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B7136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713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04E6CA13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Одржавања чистоће на површинама јавне намене</w:t>
      </w: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269A29FF" w14:textId="3C8BC1C0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87137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86DC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је чисти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и пра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5D10DEA8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BA52F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F87137">
        <w:rPr>
          <w:rFonts w:ascii="Times New Roman" w:hAnsi="Times New Roman" w:cs="Times New Roman"/>
          <w:sz w:val="24"/>
          <w:szCs w:val="24"/>
        </w:rPr>
        <w:t>0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86DC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3712E213" w:rsidR="0029731E" w:rsidRPr="005A6E6E" w:rsidRDefault="00B86DC3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8.230</w:t>
            </w:r>
            <w:r w:rsidR="002408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17B98543" w:rsidR="0029731E" w:rsidRPr="005A6E6E" w:rsidRDefault="002408D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53B46A0A" w:rsidR="0029731E" w:rsidRPr="00AB65ED" w:rsidRDefault="006D2C82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10.422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2D344E33" w:rsidR="0029731E" w:rsidRPr="00AB65ED" w:rsidRDefault="006D2C82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10.456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57B5D914" w:rsidR="0029731E" w:rsidRPr="00AB65ED" w:rsidRDefault="006D2C82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2.310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5F76A797" w:rsidR="0029731E" w:rsidRPr="00A552B7" w:rsidRDefault="006D2C82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5.378</w:t>
            </w:r>
            <w:r w:rsidR="00375E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2381B93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Градска г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робљ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440E2B15" w14:textId="0D92E7D7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947CC4">
        <w:rPr>
          <w:rFonts w:ascii="Times New Roman" w:hAnsi="Times New Roman" w:cs="Times New Roman"/>
          <w:sz w:val="24"/>
          <w:szCs w:val="24"/>
        </w:rPr>
        <w:t>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ектору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обављани су следећи послови.</w:t>
      </w:r>
    </w:p>
    <w:p w14:paraId="6E97A44F" w14:textId="3177E472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409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3479DD">
        <w:rPr>
          <w:rFonts w:ascii="Times New Roman" w:hAnsi="Times New Roman" w:cs="Times New Roman"/>
          <w:sz w:val="24"/>
          <w:szCs w:val="24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Горићком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BB691F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0419B153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Издато је </w:t>
      </w:r>
      <w:r w:rsidR="00BB691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87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144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двогробних,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32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и </w:t>
      </w:r>
      <w:r w:rsidR="003479DD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</w:t>
      </w:r>
      <w:r w:rsidR="00E473E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1EEBEAFE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65AC2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Градско з</w:t>
      </w: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еленило“</w:t>
      </w:r>
    </w:p>
    <w:p w14:paraId="54D22CCD" w14:textId="42A1A180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ектора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511855E6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Послови ов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сектора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 орезивању живе ограде (20.350 м2), одржавању ружа (370 м2),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2547B6A0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D63C7D">
        <w:rPr>
          <w:rFonts w:ascii="Times New Roman" w:hAnsi="Times New Roman" w:cs="Times New Roman"/>
          <w:sz w:val="24"/>
          <w:szCs w:val="24"/>
        </w:rPr>
        <w:t>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90998">
        <w:rPr>
          <w:rFonts w:ascii="Times New Roman" w:hAnsi="Times New Roman" w:cs="Times New Roman"/>
          <w:sz w:val="24"/>
          <w:szCs w:val="24"/>
        </w:rPr>
        <w:t>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</w:t>
      </w:r>
      <w:r w:rsidR="0085782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је изврши</w:t>
      </w:r>
      <w:r w:rsidR="00857825">
        <w:rPr>
          <w:rFonts w:ascii="Times New Roman" w:hAnsi="Times New Roman" w:cs="Times New Roman"/>
          <w:sz w:val="24"/>
          <w:szCs w:val="24"/>
          <w:lang w:val="sr-Cyrl-RS"/>
        </w:rPr>
        <w:t>о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стаза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49CF4F3D" w:rsidR="00CD7968" w:rsidRPr="006E48C3" w:rsidRDefault="0049099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9.048.060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60C9D116" w:rsidR="00CD7968" w:rsidRPr="006E48C3" w:rsidRDefault="0049099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6.747.700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730558A4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55.200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2532EBBF" w:rsidR="00CD7968" w:rsidRPr="006E48C3" w:rsidRDefault="0049099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943.780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132EC8E7" w:rsidR="00CD7968" w:rsidRPr="006E48C3" w:rsidRDefault="0049099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21.500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40C64AF9" w:rsidR="00CD7968" w:rsidRPr="00DF77C0" w:rsidRDefault="00327B7F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2.</w:t>
            </w:r>
            <w:r w:rsidR="0049099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892.060</w:t>
            </w: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1B8C839" w14:textId="39C4F94F" w:rsidR="00CD7968" w:rsidRPr="006E48C3" w:rsidRDefault="00327B7F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25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0C4684D1" w14:textId="77CC33DD" w:rsidR="00CD7968" w:rsidRPr="006E48C3" w:rsidRDefault="00327B7F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385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0195CDEC" w:rsidR="005E7EE4" w:rsidRPr="00E16F8B" w:rsidRDefault="00065AC2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„</w:t>
      </w:r>
      <w:r w:rsidR="005E7EE4"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контроле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6DD7FC55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68658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34AF8">
        <w:rPr>
          <w:rFonts w:ascii="Times New Roman" w:hAnsi="Times New Roman" w:cs="Times New Roman"/>
          <w:sz w:val="24"/>
          <w:szCs w:val="24"/>
        </w:rPr>
        <w:t>0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D119F">
        <w:rPr>
          <w:rFonts w:ascii="Times New Roman" w:hAnsi="Times New Roman" w:cs="Times New Roman"/>
          <w:sz w:val="24"/>
          <w:szCs w:val="24"/>
        </w:rPr>
        <w:t>9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B185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6E0DC0">
        <w:rPr>
          <w:rFonts w:ascii="Times New Roman" w:hAnsi="Times New Roman" w:cs="Times New Roman"/>
          <w:sz w:val="24"/>
          <w:szCs w:val="24"/>
          <w:lang w:val="sr-Latn-RS"/>
        </w:rPr>
        <w:t>58.049.168.47</w:t>
      </w:r>
      <w:r w:rsidR="001649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4CB16FA6" w:rsidR="005E7EE4" w:rsidRPr="00E47535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535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65AC2" w:rsidRPr="00E4753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E475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„Зоохигијене“</w:t>
      </w:r>
    </w:p>
    <w:p w14:paraId="79B92369" w14:textId="0C9754BC" w:rsidR="005E7EE4" w:rsidRPr="00E47535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753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65AC2" w:rsidRPr="00E4753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“Зоохигијена“ је у периоду од 01.01.202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17065A" w:rsidRPr="00E47535">
        <w:rPr>
          <w:rFonts w:ascii="Times New Roman" w:hAnsi="Times New Roman" w:cs="Times New Roman"/>
          <w:sz w:val="24"/>
          <w:szCs w:val="24"/>
        </w:rPr>
        <w:t>0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946" w:rsidRPr="00E4753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E47535" w:rsidRPr="00E47535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E4753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E47535" w:rsidRPr="00E47535">
        <w:rPr>
          <w:rFonts w:ascii="Times New Roman" w:hAnsi="Times New Roman" w:cs="Times New Roman"/>
          <w:sz w:val="24"/>
          <w:szCs w:val="24"/>
          <w:lang w:val="sr-Latn-RS"/>
        </w:rPr>
        <w:t>117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са луталиц</w:t>
      </w:r>
      <w:r w:rsidR="009D4607" w:rsidRPr="00E475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E47535" w:rsidRPr="00E47535">
        <w:rPr>
          <w:rFonts w:ascii="Times New Roman" w:hAnsi="Times New Roman" w:cs="Times New Roman"/>
          <w:sz w:val="24"/>
          <w:szCs w:val="24"/>
          <w:lang w:val="sr-Latn-RS"/>
        </w:rPr>
        <w:t>85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 w:rsidRPr="00E4753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 xml:space="preserve">0 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D6ABE" w:rsidRPr="00E4753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C0D33" w:rsidRPr="00E4753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E377C"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враћен</w:t>
      </w:r>
      <w:r w:rsidR="000C0D33" w:rsidRPr="00E47535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на природно станиште. Пре враћања</w:t>
      </w:r>
      <w:r w:rsidR="0045146B"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E47535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дехелминтизација, вакцинација против беснила, обележавање микрочипом и  обележавање видним маркицама. </w:t>
      </w:r>
    </w:p>
    <w:p w14:paraId="4E90791E" w14:textId="56CCC11B" w:rsidR="005E7EE4" w:rsidRPr="0046787B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6787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65AC2" w:rsidRPr="0046787B">
        <w:rPr>
          <w:rFonts w:ascii="Times New Roman" w:hAnsi="Times New Roman" w:cs="Times New Roman"/>
          <w:sz w:val="24"/>
          <w:szCs w:val="24"/>
          <w:lang w:val="sr-Cyrl-RS"/>
        </w:rPr>
        <w:t>ектору</w:t>
      </w:r>
      <w:r w:rsidRPr="0046787B">
        <w:rPr>
          <w:rFonts w:ascii="Times New Roman" w:hAnsi="Times New Roman" w:cs="Times New Roman"/>
          <w:sz w:val="24"/>
          <w:szCs w:val="24"/>
          <w:lang w:val="sr-Cyrl-RS"/>
        </w:rPr>
        <w:t xml:space="preserve"> је у протеклом периоду пријављено </w:t>
      </w:r>
      <w:r w:rsidR="0046787B" w:rsidRPr="0046787B">
        <w:rPr>
          <w:rFonts w:ascii="Times New Roman" w:hAnsi="Times New Roman" w:cs="Times New Roman"/>
          <w:sz w:val="24"/>
          <w:szCs w:val="24"/>
          <w:lang w:val="sr-Cyrl-RS"/>
        </w:rPr>
        <w:t>266</w:t>
      </w:r>
      <w:r w:rsidRPr="0046787B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E47535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7535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Финансијски извештај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финансијски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ривредно друштво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привредног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друштва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>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418880AC" w:rsidR="00DB2048" w:rsidRPr="00D34371" w:rsidRDefault="00DB2048" w:rsidP="00DB204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124.842.228</w:t>
            </w:r>
          </w:p>
        </w:tc>
        <w:tc>
          <w:tcPr>
            <w:tcW w:w="622" w:type="pct"/>
            <w:vAlign w:val="bottom"/>
          </w:tcPr>
          <w:p w14:paraId="309A2808" w14:textId="2755C69A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32.81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6BED4016" w:rsidR="00DA00F6" w:rsidRPr="004C6FAC" w:rsidRDefault="00DB204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117.942.487</w:t>
            </w:r>
          </w:p>
        </w:tc>
        <w:tc>
          <w:tcPr>
            <w:tcW w:w="622" w:type="pct"/>
            <w:vAlign w:val="bottom"/>
          </w:tcPr>
          <w:p w14:paraId="1D448FA8" w14:textId="0A704D9E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30.99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046A167A" w:rsidR="00896CD8" w:rsidRPr="00E04E43" w:rsidRDefault="00DB204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2.750.822</w:t>
            </w:r>
          </w:p>
        </w:tc>
        <w:tc>
          <w:tcPr>
            <w:tcW w:w="622" w:type="pct"/>
            <w:vAlign w:val="bottom"/>
          </w:tcPr>
          <w:p w14:paraId="3A748F86" w14:textId="0D26BDE7" w:rsidR="00DA00F6" w:rsidRPr="00D30056" w:rsidRDefault="00AE4F41" w:rsidP="0059742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6A92949E" w:rsidR="00DA00F6" w:rsidRPr="00E04E43" w:rsidRDefault="00DB204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15.980.339</w:t>
            </w:r>
          </w:p>
        </w:tc>
        <w:tc>
          <w:tcPr>
            <w:tcW w:w="622" w:type="pct"/>
            <w:vAlign w:val="bottom"/>
          </w:tcPr>
          <w:p w14:paraId="019C484F" w14:textId="3AF5F1B1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4B9CEBBE" w:rsidR="00DA00F6" w:rsidRPr="00E04E43" w:rsidRDefault="00DB204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116.230.969</w:t>
            </w:r>
          </w:p>
        </w:tc>
        <w:tc>
          <w:tcPr>
            <w:tcW w:w="622" w:type="pct"/>
            <w:vAlign w:val="bottom"/>
          </w:tcPr>
          <w:p w14:paraId="3F2AD882" w14:textId="03336DD0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30.54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113C0AC3" w:rsidR="00DA00F6" w:rsidRPr="00E04E43" w:rsidRDefault="00DB2048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815.971</w:t>
            </w:r>
          </w:p>
        </w:tc>
        <w:tc>
          <w:tcPr>
            <w:tcW w:w="622" w:type="pct"/>
            <w:vAlign w:val="bottom"/>
          </w:tcPr>
          <w:p w14:paraId="0BF20143" w14:textId="51DD4BD5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199E673A" w:rsidR="00DA00F6" w:rsidRPr="00E04E43" w:rsidRDefault="00DB2048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1.848.457</w:t>
            </w:r>
          </w:p>
        </w:tc>
        <w:tc>
          <w:tcPr>
            <w:tcW w:w="622" w:type="pct"/>
            <w:vAlign w:val="bottom"/>
          </w:tcPr>
          <w:p w14:paraId="7817E8DC" w14:textId="13BC94CF" w:rsidR="00DA00F6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454F70" w:rsidRPr="00500F96" w14:paraId="3883543E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</w:tcPr>
          <w:p w14:paraId="425C1A52" w14:textId="3160B8C6" w:rsidR="00454F70" w:rsidRPr="00500F96" w:rsidRDefault="00454F70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6149</w:t>
            </w:r>
          </w:p>
        </w:tc>
        <w:tc>
          <w:tcPr>
            <w:tcW w:w="2783" w:type="pct"/>
            <w:shd w:val="clear" w:color="auto" w:fill="auto"/>
            <w:noWrap/>
            <w:vAlign w:val="center"/>
          </w:tcPr>
          <w:p w14:paraId="626AA31D" w14:textId="4B1D76F4" w:rsidR="00454F70" w:rsidRPr="00454F70" w:rsidRDefault="00454F70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Приходи од консигнационе продаје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0007BE2" w14:textId="701458B2" w:rsidR="00454F70" w:rsidRPr="00DB2048" w:rsidRDefault="00DB2048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128.333</w:t>
            </w:r>
          </w:p>
        </w:tc>
        <w:tc>
          <w:tcPr>
            <w:tcW w:w="622" w:type="pct"/>
            <w:vAlign w:val="bottom"/>
          </w:tcPr>
          <w:p w14:paraId="1D9D599B" w14:textId="557F2D1B" w:rsidR="00454F70" w:rsidRPr="00D30056" w:rsidRDefault="00AE4F41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056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68433998" w:rsidR="00DA00F6" w:rsidRPr="00454F70" w:rsidRDefault="00DB2048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380.539.606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93B81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E4F4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77777777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% </w:t>
            </w:r>
            <w:proofErr w:type="spellStart"/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учешћа</w:t>
            </w:r>
            <w:proofErr w:type="spellEnd"/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C3DCD36" w14:textId="008D4BC5" w:rsidR="00DA00F6" w:rsidRPr="00A62924" w:rsidRDefault="00B7136E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52.144.489</w:t>
            </w:r>
          </w:p>
        </w:tc>
        <w:tc>
          <w:tcPr>
            <w:tcW w:w="651" w:type="pct"/>
            <w:vAlign w:val="center"/>
          </w:tcPr>
          <w:p w14:paraId="59F65194" w14:textId="11CF4ED9" w:rsidR="00DA00F6" w:rsidRPr="00D30056" w:rsidRDefault="00D30056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30056">
              <w:rPr>
                <w:rFonts w:ascii="Arial" w:hAnsi="Arial" w:cs="Arial"/>
                <w:sz w:val="20"/>
                <w:szCs w:val="20"/>
                <w:lang w:val="sr-Latn-RS"/>
              </w:rPr>
              <w:t>44.21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0E9FB492" w14:textId="7A87BBFB" w:rsidR="00AE4F41" w:rsidRPr="00A62924" w:rsidRDefault="00AE4F41" w:rsidP="00AE4F41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337.884</w:t>
            </w:r>
          </w:p>
        </w:tc>
        <w:tc>
          <w:tcPr>
            <w:tcW w:w="651" w:type="pct"/>
            <w:vAlign w:val="center"/>
          </w:tcPr>
          <w:p w14:paraId="1FDEFCB7" w14:textId="7BA719FB" w:rsidR="00DA00F6" w:rsidRPr="00D30056" w:rsidRDefault="00D3005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30056">
              <w:rPr>
                <w:rFonts w:ascii="Arial" w:hAnsi="Arial" w:cs="Arial"/>
                <w:sz w:val="20"/>
                <w:szCs w:val="20"/>
                <w:lang w:val="sr-Latn-RS"/>
              </w:rPr>
              <w:t>0.29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52CC188" w14:textId="64BB8752" w:rsidR="00DA00F6" w:rsidRPr="00A62924" w:rsidRDefault="00593B81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56.743.607</w:t>
            </w:r>
          </w:p>
        </w:tc>
        <w:tc>
          <w:tcPr>
            <w:tcW w:w="651" w:type="pct"/>
            <w:vAlign w:val="center"/>
          </w:tcPr>
          <w:p w14:paraId="01096B22" w14:textId="7669E7CF" w:rsidR="00DA00F6" w:rsidRPr="00D30056" w:rsidRDefault="00D3005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30056">
              <w:rPr>
                <w:rFonts w:ascii="Arial" w:hAnsi="Arial" w:cs="Arial"/>
                <w:sz w:val="20"/>
                <w:szCs w:val="20"/>
                <w:lang w:val="sr-Latn-RS"/>
              </w:rPr>
              <w:t>48.11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17592B65" w14:textId="4FC3D0DD" w:rsidR="00DA00F6" w:rsidRPr="00A62924" w:rsidRDefault="00593B81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8.404.507</w:t>
            </w:r>
          </w:p>
        </w:tc>
        <w:tc>
          <w:tcPr>
            <w:tcW w:w="651" w:type="pct"/>
            <w:vAlign w:val="center"/>
          </w:tcPr>
          <w:p w14:paraId="52E28055" w14:textId="7E983DA8" w:rsidR="00DA00F6" w:rsidRPr="00D30056" w:rsidRDefault="00D3005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30056">
              <w:rPr>
                <w:rFonts w:ascii="Arial" w:hAnsi="Arial" w:cs="Arial"/>
                <w:sz w:val="20"/>
                <w:szCs w:val="20"/>
                <w:lang w:val="sr-Latn-RS"/>
              </w:rPr>
              <w:t>7.13</w:t>
            </w: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дивљих</w:t>
            </w:r>
            <w:proofErr w:type="spellEnd"/>
            <w:r w:rsidRPr="00927D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депонија</w:t>
            </w:r>
            <w:proofErr w:type="spellEnd"/>
          </w:p>
        </w:tc>
        <w:tc>
          <w:tcPr>
            <w:tcW w:w="1036" w:type="pct"/>
            <w:vAlign w:val="center"/>
          </w:tcPr>
          <w:p w14:paraId="61FECBA7" w14:textId="6A0FE248" w:rsidR="001E3F13" w:rsidRPr="00910EA6" w:rsidRDefault="00ED01A5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10EA6">
              <w:rPr>
                <w:rFonts w:ascii="Arial" w:hAnsi="Arial" w:cs="Arial"/>
                <w:sz w:val="20"/>
                <w:szCs w:val="20"/>
                <w:lang w:val="sr-Latn-RS"/>
              </w:rPr>
              <w:t>312</w:t>
            </w:r>
            <w:r w:rsidR="000C3C3F" w:rsidRPr="00910EA6">
              <w:rPr>
                <w:rFonts w:ascii="Arial" w:hAnsi="Arial" w:cs="Arial"/>
                <w:sz w:val="20"/>
                <w:szCs w:val="20"/>
                <w:lang w:val="sr-Latn-RS"/>
              </w:rPr>
              <w:t>.000</w:t>
            </w:r>
          </w:p>
        </w:tc>
        <w:tc>
          <w:tcPr>
            <w:tcW w:w="651" w:type="pct"/>
            <w:vAlign w:val="center"/>
          </w:tcPr>
          <w:p w14:paraId="06D79DCA" w14:textId="2CEAFDEE" w:rsidR="00DA00F6" w:rsidRPr="00D30056" w:rsidRDefault="00D3005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30056">
              <w:rPr>
                <w:rFonts w:ascii="Arial" w:hAnsi="Arial" w:cs="Arial"/>
                <w:sz w:val="20"/>
                <w:szCs w:val="20"/>
                <w:lang w:val="sr-Latn-RS"/>
              </w:rPr>
              <w:t>0.26</w:t>
            </w: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0E169E8B" w:rsidR="00DA00F6" w:rsidRPr="00AE4F41" w:rsidRDefault="00AE4F41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AE4F41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117.942.487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AE4F41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F41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заузимају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оквирима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коментарисали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разрађене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ADFA6" w14:textId="09F74A9C" w:rsidR="00756659" w:rsidRPr="00ED616E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D6DD681" w14:textId="231832FE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E02BBDF" w14:textId="0574B05B" w:rsid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27.184.796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88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највећа је ставка накнаде штете која се исплаћује због уједа паса (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23.565.895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5077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FE286B" w14:textId="5BAAC438" w:rsidR="006366F2" w:rsidRPr="006366F2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0778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Hlk172713664"/>
      <w:r w:rsidR="0050778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0778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144</w:t>
      </w:r>
      <w:r w:rsidR="0050778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1B54">
        <w:rPr>
          <w:rFonts w:ascii="Times New Roman" w:hAnsi="Times New Roman" w:cs="Times New Roman"/>
          <w:sz w:val="24"/>
          <w:szCs w:val="24"/>
          <w:lang w:val="sr-Latn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336CF795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328">
        <w:rPr>
          <w:rFonts w:ascii="Times New Roman" w:hAnsi="Times New Roman" w:cs="Times New Roman"/>
          <w:sz w:val="24"/>
          <w:szCs w:val="24"/>
          <w:lang w:val="sr-Latn-RS"/>
        </w:rPr>
        <w:t>85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>Разлог за ово одступање од планираних вредности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 xml:space="preserve"> је тај што није набављена сва опрема која је планирана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9232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BC443A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</w:t>
      </w:r>
      <w:r w:rsidR="002C433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 купаца, као и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2BCA6DEF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лошијем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3E" w:rsidRPr="00583457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већи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BC443A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ниво</w:t>
      </w:r>
      <w:r w:rsidR="002C433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AACB" w14:textId="5995E3AA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FE7F7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BC443A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21F6466F" w:rsidR="001B45AE" w:rsidRPr="00583457" w:rsidRDefault="00FE7F71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Капитал предузећа је на нивоу од </w:t>
      </w:r>
      <w:r w:rsidR="00692328">
        <w:rPr>
          <w:rFonts w:ascii="Times New Roman" w:hAnsi="Times New Roman" w:cs="Times New Roman"/>
          <w:sz w:val="24"/>
          <w:szCs w:val="24"/>
        </w:rPr>
        <w:t>10</w:t>
      </w:r>
      <w:r w:rsidR="00BC44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вредности, док су д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443A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="001B45AE" w:rsidRPr="00583457">
        <w:rPr>
          <w:rFonts w:ascii="Times New Roman" w:hAnsi="Times New Roman" w:cs="Times New Roman"/>
          <w:sz w:val="24"/>
          <w:szCs w:val="24"/>
          <w:lang w:val="sr-Cyrl-RS"/>
        </w:rPr>
        <w:t>у односу на планиране вредности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еквиваленти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објашњени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14:paraId="12AD31FE" w14:textId="2DEB28D5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Постоји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делимично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 продај</w:t>
      </w:r>
      <w:r w:rsidR="00AA7CBA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5F1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C73">
        <w:rPr>
          <w:rFonts w:ascii="Times New Roman" w:hAnsi="Times New Roman" w:cs="Times New Roman"/>
          <w:bCs/>
          <w:sz w:val="24"/>
          <w:szCs w:val="24"/>
          <w:lang w:val="sr-Cyrl-RS"/>
        </w:rPr>
        <w:t>као и одлива готовине из пословн</w:t>
      </w:r>
      <w:r w:rsidR="00AA7CBA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5F1C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активнос</w:t>
      </w:r>
      <w:r w:rsidR="00AA7CBA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5F1C73">
        <w:rPr>
          <w:rFonts w:ascii="Times New Roman" w:hAnsi="Times New Roman" w:cs="Times New Roman"/>
          <w:bCs/>
          <w:sz w:val="24"/>
          <w:szCs w:val="24"/>
          <w:lang w:val="sr-Cyrl-RS"/>
        </w:rPr>
        <w:t>и, али не у значајнијим апсолутним вредностима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Одлив по основу зарада је мањи од планираног</w:t>
      </w:r>
      <w:r w:rsidR="005F1C7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 разлога што је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471C">
        <w:rPr>
          <w:rFonts w:ascii="Times New Roman" w:hAnsi="Times New Roman" w:cs="Times New Roman"/>
          <w:bCs/>
          <w:sz w:val="24"/>
          <w:szCs w:val="24"/>
          <w:lang w:val="sr-Cyrl-RS"/>
        </w:rPr>
        <w:t>у радном односу било мање запослених од планираног броја.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На новчане токове је позитивно утицало и то што није дошло до реализације набавке основних средства према плану инвестиција.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новчане токове је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највише позитивно утицало почетно стање готовине, које је знатно веће од планиране вредности.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C7183" w14:textId="03F0DB8A" w:rsidR="00D9594E" w:rsidRPr="00D9594E" w:rsidRDefault="00D9594E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Позиција Помоћ радницима и породицама радника је на нивоу од </w:t>
      </w:r>
      <w:r w:rsidR="009F66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4378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вредности. Ова помоћ се исплаћује у случају смрти запосленог, или члана породице запосленог, тако да није могуће прецизно предвидети и планирати ову позицију.</w:t>
      </w:r>
    </w:p>
    <w:p w14:paraId="77AA8FD4" w14:textId="6D7B2217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D9594E">
        <w:rPr>
          <w:rFonts w:ascii="Times New Roman" w:hAnsi="Times New Roman" w:cs="Times New Roman"/>
          <w:sz w:val="24"/>
          <w:szCs w:val="24"/>
          <w:lang w:val="sr-Cyrl-RS"/>
        </w:rPr>
        <w:t xml:space="preserve"> и на нивоу је </w:t>
      </w:r>
      <w:r w:rsidR="00BC091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E4378">
        <w:rPr>
          <w:rFonts w:ascii="Times New Roman" w:hAnsi="Times New Roman" w:cs="Times New Roman"/>
          <w:sz w:val="24"/>
          <w:szCs w:val="24"/>
          <w:lang w:val="sr-Cyrl-RS"/>
        </w:rPr>
        <w:t>144</w:t>
      </w:r>
      <w:r w:rsidR="009A0A7D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вредности, из разлога што је целокупан износ позиције Остале накнаде трошкова запосленима у потпуности утрошена на почетку године и неће више бити трошења средстава на овој позицији.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7F55F0AC" w14:textId="111C0CC8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број запослених на неодређено време се смањио за 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)  извршиоца од којих је 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отиш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о у пензију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је раскинуо радни однос на сопствени захтев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FF029A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D7E26" w14:textId="4CF7D891" w:rsidR="009B540C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>На дан 3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>.2024.год. укупан број запослених је 22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3230D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на неодређено време и </w:t>
      </w:r>
      <w:r w:rsidR="00E47758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 на одређено време).</w:t>
      </w:r>
    </w:p>
    <w:p w14:paraId="14D8B08B" w14:textId="77777777" w:rsidR="00452673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ECFF341" w14:textId="77777777" w:rsidR="00AB7966" w:rsidRDefault="00AB7966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F86EF8A" w14:textId="77777777" w:rsidR="00AB7966" w:rsidRPr="009B540C" w:rsidRDefault="00AB7966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24D7750D" w:rsidR="00EB14FE" w:rsidRPr="001C6086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7F2884">
        <w:rPr>
          <w:rFonts w:ascii="Times New Roman" w:hAnsi="Times New Roman" w:cs="Times New Roman"/>
          <w:sz w:val="24"/>
          <w:szCs w:val="24"/>
          <w:lang w:val="sr-Cyrl-RS"/>
        </w:rPr>
        <w:t>59.379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102F3E">
        <w:rPr>
          <w:rFonts w:ascii="Times New Roman" w:hAnsi="Times New Roman" w:cs="Times New Roman"/>
          <w:sz w:val="24"/>
          <w:szCs w:val="24"/>
          <w:lang w:val="sr-Cyrl-RS"/>
        </w:rPr>
        <w:t>122.7</w:t>
      </w:r>
      <w:r w:rsidR="007F288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</w:t>
      </w:r>
      <w:r w:rsidR="001C60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највиша исплаћена нето зарада пословдству износила 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148.612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F2884">
        <w:rPr>
          <w:rFonts w:ascii="Times New Roman" w:hAnsi="Times New Roman" w:cs="Times New Roman"/>
          <w:sz w:val="24"/>
          <w:szCs w:val="24"/>
          <w:lang w:val="sr-Cyrl-RS"/>
        </w:rPr>
        <w:t>, а најнижа 138.643 динара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062B6A" w14:textId="3F238994" w:rsidR="00452673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161BBAC" w14:textId="2D698536" w:rsidR="00102F3E" w:rsidRDefault="00102F3E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4282649" w14:textId="77777777" w:rsidR="00102F3E" w:rsidRPr="00210A21" w:rsidRDefault="00102F3E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5FA91573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5C351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C3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</w:t>
      </w:r>
      <w:r w:rsidR="00D848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084956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5C3512">
        <w:rPr>
          <w:rFonts w:ascii="Times New Roman" w:hAnsi="Times New Roman" w:cs="Times New Roman"/>
          <w:sz w:val="24"/>
          <w:szCs w:val="24"/>
          <w:lang w:val="sr-Cyrl-RS"/>
        </w:rPr>
        <w:t>оснивач је кроз капиталну субвенцију у износу од 8.332.980,00 динара без ПДВ-а финанси</w:t>
      </w:r>
      <w:r w:rsidR="00AA7CBA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5C3512">
        <w:rPr>
          <w:rFonts w:ascii="Times New Roman" w:hAnsi="Times New Roman" w:cs="Times New Roman"/>
          <w:sz w:val="24"/>
          <w:szCs w:val="24"/>
          <w:lang w:val="sr-Cyrl-RS"/>
        </w:rPr>
        <w:t>о набавку подземних контејнера.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1AC606F7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 издвајана средства за посебне намене што се тиче спонзорства, донација и хуманитарних давања. За репрезентацију је издвојено</w:t>
      </w:r>
      <w:r w:rsidR="00280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0D0C">
        <w:rPr>
          <w:rFonts w:ascii="Times New Roman" w:hAnsi="Times New Roman" w:cs="Times New Roman"/>
          <w:sz w:val="24"/>
          <w:szCs w:val="24"/>
          <w:lang w:val="sr-Cyrl-CS"/>
        </w:rPr>
        <w:t>499.266</w:t>
      </w:r>
      <w:r w:rsidR="00D848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60D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160D0C">
        <w:rPr>
          <w:rFonts w:ascii="Times New Roman" w:hAnsi="Times New Roman" w:cs="Times New Roman"/>
          <w:sz w:val="24"/>
          <w:szCs w:val="24"/>
          <w:lang w:val="sr-Cyrl-RS"/>
        </w:rPr>
        <w:t>704.800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2BCA7044" w:rsidR="000E5FA1" w:rsidRPr="00451132" w:rsidRDefault="001353A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току 2022. г. предузеће је добило сагласност Скупштине Града Ваљева за задужење путем финансијског лизинга, а за набавку фекалијске цистерне. У току 2022. г. расписана је јавна набавка за набавку фекалијске цист</w:t>
      </w:r>
      <w:r w:rsidR="008E116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рне путем финансијског лизинга, а са понуђачима најповољније понуде је склопљен тројни Уговор о јавној набавци за добра  новембру 2022. г. (уговор између Видрака, Ресора доо као испоручилац добра и Липакс доо као даваоца лизинга</w:t>
      </w:r>
      <w:r w:rsidR="00D64E46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Како је Ресор доо испоручио добро-фекалијску цист</w:t>
      </w:r>
      <w:r w:rsidR="008B7A78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рну у фебруару 2023. г., то су се тек онда стекли услови за започињање лизинга, тако да је у фебруару</w:t>
      </w:r>
      <w:r w:rsidR="00D876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г.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сачињен уговор о лизингу са Липакс доо Београд, а на бази претходно поменутог тројног уговора о јавној набавци. Сходно наведеном п</w:t>
      </w:r>
      <w:r w:rsidR="000E5FA1" w:rsidRPr="00451132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B5281E">
        <w:rPr>
          <w:rFonts w:ascii="Times New Roman" w:hAnsi="Times New Roman" w:cs="Times New Roman"/>
          <w:sz w:val="24"/>
          <w:szCs w:val="24"/>
          <w:lang w:val="sr-Cyrl-RS"/>
        </w:rPr>
        <w:t>је ушло у кредитну задуженост по основу лизинга за набавку основног средства-аутофекалне цистерне у укупном износу 10.104.959,72 динара на рок од 60 месеци, са номиналном каматном стопом од 5% на годишњем нивоу.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345B1C48" w14:textId="72DBA766" w:rsidR="00A04725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3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E2A7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8E622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>дошло</w:t>
      </w:r>
      <w:r w:rsidR="006E2A77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 xml:space="preserve"> до реализације</w:t>
      </w:r>
      <w:r w:rsidR="006E2A77">
        <w:rPr>
          <w:rFonts w:ascii="Times New Roman" w:hAnsi="Times New Roman" w:cs="Times New Roman"/>
          <w:sz w:val="24"/>
          <w:szCs w:val="24"/>
          <w:lang w:val="sr-Cyrl-CS"/>
        </w:rPr>
        <w:t xml:space="preserve"> набавке подземних контејнера, који су финансирани кроз капиталну субвенцију оснивача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</w:t>
      </w:r>
      <w:r w:rsidR="00A51646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значајнијим процентима 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46">
        <w:rPr>
          <w:rFonts w:ascii="Times New Roman" w:hAnsi="Times New Roman" w:cs="Times New Roman"/>
          <w:sz w:val="24"/>
          <w:szCs w:val="24"/>
          <w:lang w:val="sr-Cyrl-RS"/>
        </w:rPr>
        <w:t>У овом периоду је реализована</w:t>
      </w:r>
      <w:r w:rsidR="00957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646">
        <w:rPr>
          <w:rFonts w:ascii="Times New Roman" w:hAnsi="Times New Roman" w:cs="Times New Roman"/>
          <w:sz w:val="24"/>
          <w:szCs w:val="24"/>
          <w:lang w:val="sr-Cyrl-RS"/>
        </w:rPr>
        <w:t>и инвестиција у електрична колица за превоз покојника</w:t>
      </w:r>
      <w:r w:rsidR="00B36D8B">
        <w:rPr>
          <w:rFonts w:ascii="Times New Roman" w:hAnsi="Times New Roman" w:cs="Times New Roman"/>
          <w:sz w:val="24"/>
          <w:szCs w:val="24"/>
        </w:rPr>
        <w:t xml:space="preserve"> </w:t>
      </w:r>
      <w:r w:rsidR="00B36D8B">
        <w:rPr>
          <w:rFonts w:ascii="Times New Roman" w:hAnsi="Times New Roman" w:cs="Times New Roman"/>
          <w:sz w:val="24"/>
          <w:szCs w:val="24"/>
          <w:lang w:val="sr-Cyrl-RS"/>
        </w:rPr>
        <w:t>у износу од 2.850.000,00 динара</w:t>
      </w:r>
      <w:r w:rsidR="00A51646">
        <w:rPr>
          <w:rFonts w:ascii="Times New Roman" w:hAnsi="Times New Roman" w:cs="Times New Roman"/>
          <w:sz w:val="24"/>
          <w:szCs w:val="24"/>
          <w:lang w:val="sr-Cyrl-RS"/>
        </w:rPr>
        <w:t>, која је била у плану јавних набавки у 2023. г. када је набавка и започета, али се до трећег квартала 2024. г. чекало на испоруку овог средства</w:t>
      </w:r>
      <w:r w:rsidR="00225EA0">
        <w:rPr>
          <w:rFonts w:ascii="Times New Roman" w:hAnsi="Times New Roman" w:cs="Times New Roman"/>
          <w:sz w:val="24"/>
          <w:szCs w:val="24"/>
          <w:lang w:val="sr-Cyrl-RS"/>
        </w:rPr>
        <w:t>, јер је добављач имао потешкоће приликом транспорта увозене опреме</w:t>
      </w:r>
      <w:r w:rsidR="00A516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6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707DE" w14:textId="33857BEF" w:rsidR="00225EA0" w:rsidRDefault="00225EA0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2F040B7" w14:textId="77777777" w:rsidR="00225EA0" w:rsidRPr="00210A21" w:rsidRDefault="00225EA0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11. ПОТРАЖИВАЊА, ОБАВЕЗЕ И СУДСКИ СПОРОВИ</w:t>
      </w:r>
    </w:p>
    <w:p w14:paraId="38EDF2C6" w14:textId="6BAA5444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142.725.492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71.139.743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0C89EBC1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18.828.230,99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нара. Од укупног броја спорова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</w:t>
      </w:r>
      <w:r w:rsidR="00C3367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, тако да је у извештајном периоду по овом основу исплаћено </w:t>
      </w:r>
      <w:r w:rsidR="00363AA8">
        <w:rPr>
          <w:rFonts w:ascii="Times New Roman" w:hAnsi="Times New Roman" w:cs="Times New Roman"/>
          <w:sz w:val="24"/>
          <w:szCs w:val="24"/>
          <w:lang w:val="sr-Latn-RS"/>
        </w:rPr>
        <w:t>23.565.895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3AA8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7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1A3" w:rsidRPr="007F71A3">
        <w:rPr>
          <w:rFonts w:ascii="Times New Roman" w:hAnsi="Times New Roman" w:cs="Times New Roman"/>
          <w:sz w:val="24"/>
          <w:szCs w:val="24"/>
          <w:lang w:val="sr-Cyrl-RS"/>
        </w:rPr>
        <w:t>У овом периоду су исплаћене и пресуде које су вођене у току прошле године, а доспеле су за плаћање у овој години, тако да је исплаћен износ по тужбама већи од износа по тужбама које се воде у току ове године.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35F91D37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01.01.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3</w:t>
      </w:r>
      <w:r w:rsidR="00B93A7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3AA8">
        <w:rPr>
          <w:rFonts w:ascii="Times New Roman" w:hAnsi="Times New Roman" w:cs="Times New Roman"/>
          <w:sz w:val="24"/>
          <w:szCs w:val="24"/>
          <w:lang w:val="sr-Latn-RS"/>
        </w:rPr>
        <w:t>23.144.000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3AA8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чишћењу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одрж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вању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очекивања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38340" w14:textId="182ACF5C" w:rsidR="00AE12E8" w:rsidRPr="00FD42AE" w:rsidRDefault="00D05309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едузеће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успело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напоре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закашњењем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опстанак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AE12E8"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образложено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>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54C5D2D5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419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3AA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7F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185176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2DE8" w14:textId="77777777" w:rsidR="003E2177" w:rsidRDefault="003E2177" w:rsidP="00F4195D">
      <w:pPr>
        <w:spacing w:after="0" w:line="240" w:lineRule="auto"/>
      </w:pPr>
      <w:r>
        <w:separator/>
      </w:r>
    </w:p>
  </w:endnote>
  <w:endnote w:type="continuationSeparator" w:id="0">
    <w:p w14:paraId="6416FA02" w14:textId="77777777" w:rsidR="003E2177" w:rsidRDefault="003E217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E3D2" w14:textId="77777777" w:rsidR="003E2177" w:rsidRDefault="003E2177" w:rsidP="00F4195D">
      <w:pPr>
        <w:spacing w:after="0" w:line="240" w:lineRule="auto"/>
      </w:pPr>
      <w:r>
        <w:separator/>
      </w:r>
    </w:p>
  </w:footnote>
  <w:footnote w:type="continuationSeparator" w:id="0">
    <w:p w14:paraId="4BDF5DD0" w14:textId="77777777" w:rsidR="003E2177" w:rsidRDefault="003E2177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22B8"/>
    <w:rsid w:val="00034991"/>
    <w:rsid w:val="00034B12"/>
    <w:rsid w:val="00036562"/>
    <w:rsid w:val="00041562"/>
    <w:rsid w:val="00041F96"/>
    <w:rsid w:val="000423DD"/>
    <w:rsid w:val="0005256C"/>
    <w:rsid w:val="000528F2"/>
    <w:rsid w:val="000549F9"/>
    <w:rsid w:val="00054CC8"/>
    <w:rsid w:val="000649CE"/>
    <w:rsid w:val="00065AC2"/>
    <w:rsid w:val="00081545"/>
    <w:rsid w:val="00084956"/>
    <w:rsid w:val="00085315"/>
    <w:rsid w:val="0008532E"/>
    <w:rsid w:val="00085A45"/>
    <w:rsid w:val="0008696D"/>
    <w:rsid w:val="000934E8"/>
    <w:rsid w:val="00096A0C"/>
    <w:rsid w:val="000A0099"/>
    <w:rsid w:val="000A3684"/>
    <w:rsid w:val="000A3FE1"/>
    <w:rsid w:val="000A6949"/>
    <w:rsid w:val="000A7966"/>
    <w:rsid w:val="000B0577"/>
    <w:rsid w:val="000B2693"/>
    <w:rsid w:val="000B4639"/>
    <w:rsid w:val="000B6C54"/>
    <w:rsid w:val="000C0D33"/>
    <w:rsid w:val="000C1302"/>
    <w:rsid w:val="000C3C3F"/>
    <w:rsid w:val="000C4E3C"/>
    <w:rsid w:val="000C57CD"/>
    <w:rsid w:val="000D2769"/>
    <w:rsid w:val="000D60C8"/>
    <w:rsid w:val="000E36F6"/>
    <w:rsid w:val="000E5FA1"/>
    <w:rsid w:val="000F5712"/>
    <w:rsid w:val="000F7A1A"/>
    <w:rsid w:val="00102E3D"/>
    <w:rsid w:val="00102F3E"/>
    <w:rsid w:val="00103E03"/>
    <w:rsid w:val="0010687C"/>
    <w:rsid w:val="001116C5"/>
    <w:rsid w:val="00111917"/>
    <w:rsid w:val="00113F31"/>
    <w:rsid w:val="00122343"/>
    <w:rsid w:val="00124D39"/>
    <w:rsid w:val="00133261"/>
    <w:rsid w:val="00134556"/>
    <w:rsid w:val="001353A0"/>
    <w:rsid w:val="00137668"/>
    <w:rsid w:val="0013768B"/>
    <w:rsid w:val="00141B89"/>
    <w:rsid w:val="00150598"/>
    <w:rsid w:val="0016078A"/>
    <w:rsid w:val="00160D0C"/>
    <w:rsid w:val="00161051"/>
    <w:rsid w:val="0016445F"/>
    <w:rsid w:val="00164984"/>
    <w:rsid w:val="0016545C"/>
    <w:rsid w:val="00167C41"/>
    <w:rsid w:val="0017065A"/>
    <w:rsid w:val="00172292"/>
    <w:rsid w:val="0017291A"/>
    <w:rsid w:val="0017399B"/>
    <w:rsid w:val="0017455F"/>
    <w:rsid w:val="00175A8D"/>
    <w:rsid w:val="00176FCE"/>
    <w:rsid w:val="00177A82"/>
    <w:rsid w:val="00180B47"/>
    <w:rsid w:val="00185176"/>
    <w:rsid w:val="001A4E95"/>
    <w:rsid w:val="001A63B0"/>
    <w:rsid w:val="001B0A46"/>
    <w:rsid w:val="001B3F40"/>
    <w:rsid w:val="001B45AE"/>
    <w:rsid w:val="001B607D"/>
    <w:rsid w:val="001C0BAB"/>
    <w:rsid w:val="001C4D52"/>
    <w:rsid w:val="001C6086"/>
    <w:rsid w:val="001D24BD"/>
    <w:rsid w:val="001D3787"/>
    <w:rsid w:val="001D4EA2"/>
    <w:rsid w:val="001D635F"/>
    <w:rsid w:val="001E00FF"/>
    <w:rsid w:val="001E2EDF"/>
    <w:rsid w:val="001E3F13"/>
    <w:rsid w:val="001F083E"/>
    <w:rsid w:val="001F182F"/>
    <w:rsid w:val="001F21C8"/>
    <w:rsid w:val="001F5081"/>
    <w:rsid w:val="001F5333"/>
    <w:rsid w:val="001F5B67"/>
    <w:rsid w:val="001F6080"/>
    <w:rsid w:val="0020020B"/>
    <w:rsid w:val="00204FCE"/>
    <w:rsid w:val="00205EDC"/>
    <w:rsid w:val="002065AB"/>
    <w:rsid w:val="00210A21"/>
    <w:rsid w:val="0021355E"/>
    <w:rsid w:val="002147EA"/>
    <w:rsid w:val="00214C9F"/>
    <w:rsid w:val="00220044"/>
    <w:rsid w:val="00220C30"/>
    <w:rsid w:val="00223525"/>
    <w:rsid w:val="002242FD"/>
    <w:rsid w:val="00225BB3"/>
    <w:rsid w:val="00225EA0"/>
    <w:rsid w:val="002277FB"/>
    <w:rsid w:val="002408DA"/>
    <w:rsid w:val="002412BC"/>
    <w:rsid w:val="002441A3"/>
    <w:rsid w:val="00245480"/>
    <w:rsid w:val="00245D2A"/>
    <w:rsid w:val="002570FC"/>
    <w:rsid w:val="00257ABE"/>
    <w:rsid w:val="002633CA"/>
    <w:rsid w:val="0026448B"/>
    <w:rsid w:val="0026471C"/>
    <w:rsid w:val="002661FC"/>
    <w:rsid w:val="00266646"/>
    <w:rsid w:val="00277514"/>
    <w:rsid w:val="00280294"/>
    <w:rsid w:val="00283364"/>
    <w:rsid w:val="00285F14"/>
    <w:rsid w:val="002909D6"/>
    <w:rsid w:val="00295135"/>
    <w:rsid w:val="0029731E"/>
    <w:rsid w:val="002A0B5B"/>
    <w:rsid w:val="002A0C4E"/>
    <w:rsid w:val="002A29A2"/>
    <w:rsid w:val="002B0DC3"/>
    <w:rsid w:val="002B432D"/>
    <w:rsid w:val="002C4337"/>
    <w:rsid w:val="002C6747"/>
    <w:rsid w:val="002D052F"/>
    <w:rsid w:val="002D7DBF"/>
    <w:rsid w:val="002E284E"/>
    <w:rsid w:val="002E2EB2"/>
    <w:rsid w:val="003011C0"/>
    <w:rsid w:val="003037A3"/>
    <w:rsid w:val="00312C60"/>
    <w:rsid w:val="00322715"/>
    <w:rsid w:val="003230DA"/>
    <w:rsid w:val="00325D70"/>
    <w:rsid w:val="00327B7F"/>
    <w:rsid w:val="0033221D"/>
    <w:rsid w:val="0034072F"/>
    <w:rsid w:val="00340852"/>
    <w:rsid w:val="00344083"/>
    <w:rsid w:val="0034710B"/>
    <w:rsid w:val="003479DD"/>
    <w:rsid w:val="00350331"/>
    <w:rsid w:val="00351835"/>
    <w:rsid w:val="00356D61"/>
    <w:rsid w:val="00360D33"/>
    <w:rsid w:val="00363AA8"/>
    <w:rsid w:val="0036444B"/>
    <w:rsid w:val="00373322"/>
    <w:rsid w:val="003752A6"/>
    <w:rsid w:val="00375E2A"/>
    <w:rsid w:val="00387159"/>
    <w:rsid w:val="00387B21"/>
    <w:rsid w:val="00390DBB"/>
    <w:rsid w:val="00394AAE"/>
    <w:rsid w:val="003A2E7D"/>
    <w:rsid w:val="003A4682"/>
    <w:rsid w:val="003B4563"/>
    <w:rsid w:val="003C225B"/>
    <w:rsid w:val="003C332B"/>
    <w:rsid w:val="003C5DA7"/>
    <w:rsid w:val="003D050F"/>
    <w:rsid w:val="003D1F1B"/>
    <w:rsid w:val="003D6902"/>
    <w:rsid w:val="003E0EFD"/>
    <w:rsid w:val="003E2177"/>
    <w:rsid w:val="003E23D2"/>
    <w:rsid w:val="003E4FF7"/>
    <w:rsid w:val="003E5CB9"/>
    <w:rsid w:val="003E6BF8"/>
    <w:rsid w:val="00406966"/>
    <w:rsid w:val="0041288F"/>
    <w:rsid w:val="0041427B"/>
    <w:rsid w:val="00415B3A"/>
    <w:rsid w:val="00416779"/>
    <w:rsid w:val="00422D00"/>
    <w:rsid w:val="004264AA"/>
    <w:rsid w:val="0043412B"/>
    <w:rsid w:val="00437A52"/>
    <w:rsid w:val="00445049"/>
    <w:rsid w:val="00451132"/>
    <w:rsid w:val="0045146B"/>
    <w:rsid w:val="00452673"/>
    <w:rsid w:val="0045407E"/>
    <w:rsid w:val="00454F70"/>
    <w:rsid w:val="004557CC"/>
    <w:rsid w:val="004620C3"/>
    <w:rsid w:val="00463C00"/>
    <w:rsid w:val="004644F1"/>
    <w:rsid w:val="00465A4F"/>
    <w:rsid w:val="0046787B"/>
    <w:rsid w:val="00476DD8"/>
    <w:rsid w:val="004822F8"/>
    <w:rsid w:val="00484FFD"/>
    <w:rsid w:val="00490998"/>
    <w:rsid w:val="00497947"/>
    <w:rsid w:val="004A2C04"/>
    <w:rsid w:val="004A565F"/>
    <w:rsid w:val="004A5F58"/>
    <w:rsid w:val="004B157B"/>
    <w:rsid w:val="004C4F50"/>
    <w:rsid w:val="004C6590"/>
    <w:rsid w:val="004C65E3"/>
    <w:rsid w:val="004C6FAC"/>
    <w:rsid w:val="004D5890"/>
    <w:rsid w:val="004E7020"/>
    <w:rsid w:val="004F03B4"/>
    <w:rsid w:val="004F4B34"/>
    <w:rsid w:val="004F5E71"/>
    <w:rsid w:val="00507789"/>
    <w:rsid w:val="00511EDC"/>
    <w:rsid w:val="005152F8"/>
    <w:rsid w:val="005157DB"/>
    <w:rsid w:val="00520215"/>
    <w:rsid w:val="0052734B"/>
    <w:rsid w:val="00543615"/>
    <w:rsid w:val="005464EB"/>
    <w:rsid w:val="0055441D"/>
    <w:rsid w:val="00554EFE"/>
    <w:rsid w:val="00555025"/>
    <w:rsid w:val="00556A1B"/>
    <w:rsid w:val="00556B93"/>
    <w:rsid w:val="00557684"/>
    <w:rsid w:val="005604A2"/>
    <w:rsid w:val="00563763"/>
    <w:rsid w:val="005660F7"/>
    <w:rsid w:val="00567A10"/>
    <w:rsid w:val="00570A7A"/>
    <w:rsid w:val="00577986"/>
    <w:rsid w:val="00580444"/>
    <w:rsid w:val="00580DEC"/>
    <w:rsid w:val="00581974"/>
    <w:rsid w:val="00582E5B"/>
    <w:rsid w:val="00583457"/>
    <w:rsid w:val="00593B81"/>
    <w:rsid w:val="00596BF2"/>
    <w:rsid w:val="00597425"/>
    <w:rsid w:val="005A2C71"/>
    <w:rsid w:val="005A6E6E"/>
    <w:rsid w:val="005B3B50"/>
    <w:rsid w:val="005B544F"/>
    <w:rsid w:val="005B591E"/>
    <w:rsid w:val="005B6D22"/>
    <w:rsid w:val="005C3512"/>
    <w:rsid w:val="005C54B0"/>
    <w:rsid w:val="005E4855"/>
    <w:rsid w:val="005E7EE4"/>
    <w:rsid w:val="005F1AF2"/>
    <w:rsid w:val="005F1C73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2715"/>
    <w:rsid w:val="00653F28"/>
    <w:rsid w:val="00654942"/>
    <w:rsid w:val="00655D02"/>
    <w:rsid w:val="00665F38"/>
    <w:rsid w:val="006705A2"/>
    <w:rsid w:val="006766ED"/>
    <w:rsid w:val="00680763"/>
    <w:rsid w:val="006808C5"/>
    <w:rsid w:val="00680CF7"/>
    <w:rsid w:val="00685054"/>
    <w:rsid w:val="00686581"/>
    <w:rsid w:val="00690C4A"/>
    <w:rsid w:val="00692328"/>
    <w:rsid w:val="00692410"/>
    <w:rsid w:val="006A1F86"/>
    <w:rsid w:val="006A3A9B"/>
    <w:rsid w:val="006B10F5"/>
    <w:rsid w:val="006B3B0E"/>
    <w:rsid w:val="006C2603"/>
    <w:rsid w:val="006C2992"/>
    <w:rsid w:val="006C482C"/>
    <w:rsid w:val="006D1916"/>
    <w:rsid w:val="006D2C82"/>
    <w:rsid w:val="006D3A01"/>
    <w:rsid w:val="006D5398"/>
    <w:rsid w:val="006E0DC0"/>
    <w:rsid w:val="006E2A77"/>
    <w:rsid w:val="006E4378"/>
    <w:rsid w:val="006E453A"/>
    <w:rsid w:val="006E48C3"/>
    <w:rsid w:val="006E7C62"/>
    <w:rsid w:val="006F3167"/>
    <w:rsid w:val="006F5E4C"/>
    <w:rsid w:val="006F6DC0"/>
    <w:rsid w:val="00711DA8"/>
    <w:rsid w:val="007122F1"/>
    <w:rsid w:val="00720ADA"/>
    <w:rsid w:val="00726833"/>
    <w:rsid w:val="00727B2F"/>
    <w:rsid w:val="00730C3C"/>
    <w:rsid w:val="0073258C"/>
    <w:rsid w:val="00734AF8"/>
    <w:rsid w:val="007368ED"/>
    <w:rsid w:val="007407CB"/>
    <w:rsid w:val="00743FC6"/>
    <w:rsid w:val="00744C23"/>
    <w:rsid w:val="00746083"/>
    <w:rsid w:val="00756659"/>
    <w:rsid w:val="00761D4C"/>
    <w:rsid w:val="00772424"/>
    <w:rsid w:val="00780335"/>
    <w:rsid w:val="0078492F"/>
    <w:rsid w:val="00784FFD"/>
    <w:rsid w:val="00785816"/>
    <w:rsid w:val="00786050"/>
    <w:rsid w:val="00787318"/>
    <w:rsid w:val="00787915"/>
    <w:rsid w:val="00790A1D"/>
    <w:rsid w:val="00795041"/>
    <w:rsid w:val="007A09C3"/>
    <w:rsid w:val="007A0D28"/>
    <w:rsid w:val="007A0EDD"/>
    <w:rsid w:val="007B5EC1"/>
    <w:rsid w:val="007E06A0"/>
    <w:rsid w:val="007E1D12"/>
    <w:rsid w:val="007E3E37"/>
    <w:rsid w:val="007E7ECB"/>
    <w:rsid w:val="007F2884"/>
    <w:rsid w:val="007F4CA8"/>
    <w:rsid w:val="007F669F"/>
    <w:rsid w:val="007F71A3"/>
    <w:rsid w:val="0080709D"/>
    <w:rsid w:val="00810B95"/>
    <w:rsid w:val="008155CD"/>
    <w:rsid w:val="00815803"/>
    <w:rsid w:val="008224FB"/>
    <w:rsid w:val="00835D69"/>
    <w:rsid w:val="00844DC0"/>
    <w:rsid w:val="008565B8"/>
    <w:rsid w:val="00857825"/>
    <w:rsid w:val="00860E8D"/>
    <w:rsid w:val="00865DEB"/>
    <w:rsid w:val="00865E84"/>
    <w:rsid w:val="008672D1"/>
    <w:rsid w:val="00870B4F"/>
    <w:rsid w:val="008715DA"/>
    <w:rsid w:val="0087325B"/>
    <w:rsid w:val="00873B8E"/>
    <w:rsid w:val="008906B0"/>
    <w:rsid w:val="00896CD8"/>
    <w:rsid w:val="0089729D"/>
    <w:rsid w:val="008A2B02"/>
    <w:rsid w:val="008A4342"/>
    <w:rsid w:val="008A4F0C"/>
    <w:rsid w:val="008B0693"/>
    <w:rsid w:val="008B5ECE"/>
    <w:rsid w:val="008B7A78"/>
    <w:rsid w:val="008B7B88"/>
    <w:rsid w:val="008C11A8"/>
    <w:rsid w:val="008C47AE"/>
    <w:rsid w:val="008C70C0"/>
    <w:rsid w:val="008D4EFF"/>
    <w:rsid w:val="008D772D"/>
    <w:rsid w:val="008E02A2"/>
    <w:rsid w:val="008E116C"/>
    <w:rsid w:val="008E1834"/>
    <w:rsid w:val="008E481C"/>
    <w:rsid w:val="008E6229"/>
    <w:rsid w:val="008F5D25"/>
    <w:rsid w:val="008F5E99"/>
    <w:rsid w:val="008F785F"/>
    <w:rsid w:val="0090298D"/>
    <w:rsid w:val="00904DAB"/>
    <w:rsid w:val="0090636A"/>
    <w:rsid w:val="00910EA6"/>
    <w:rsid w:val="009143F7"/>
    <w:rsid w:val="00920F25"/>
    <w:rsid w:val="00924637"/>
    <w:rsid w:val="00927D63"/>
    <w:rsid w:val="00941081"/>
    <w:rsid w:val="009467EA"/>
    <w:rsid w:val="00946846"/>
    <w:rsid w:val="00947700"/>
    <w:rsid w:val="00947CC4"/>
    <w:rsid w:val="00957886"/>
    <w:rsid w:val="00963B98"/>
    <w:rsid w:val="00970CAB"/>
    <w:rsid w:val="009726D5"/>
    <w:rsid w:val="0097293D"/>
    <w:rsid w:val="00975557"/>
    <w:rsid w:val="00981D75"/>
    <w:rsid w:val="009841D4"/>
    <w:rsid w:val="00986485"/>
    <w:rsid w:val="00992514"/>
    <w:rsid w:val="00994AFA"/>
    <w:rsid w:val="00995786"/>
    <w:rsid w:val="00997F2F"/>
    <w:rsid w:val="009A0A7D"/>
    <w:rsid w:val="009B1C0B"/>
    <w:rsid w:val="009B4A5F"/>
    <w:rsid w:val="009B4B19"/>
    <w:rsid w:val="009B4D44"/>
    <w:rsid w:val="009B540C"/>
    <w:rsid w:val="009C2F53"/>
    <w:rsid w:val="009C5635"/>
    <w:rsid w:val="009D4607"/>
    <w:rsid w:val="009E46F2"/>
    <w:rsid w:val="009E7178"/>
    <w:rsid w:val="009F03F9"/>
    <w:rsid w:val="009F5A05"/>
    <w:rsid w:val="009F667F"/>
    <w:rsid w:val="00A011B2"/>
    <w:rsid w:val="00A01E6A"/>
    <w:rsid w:val="00A04725"/>
    <w:rsid w:val="00A101EC"/>
    <w:rsid w:val="00A119FD"/>
    <w:rsid w:val="00A12CE3"/>
    <w:rsid w:val="00A14A20"/>
    <w:rsid w:val="00A23499"/>
    <w:rsid w:val="00A26CE7"/>
    <w:rsid w:val="00A30167"/>
    <w:rsid w:val="00A327FE"/>
    <w:rsid w:val="00A33988"/>
    <w:rsid w:val="00A33AD7"/>
    <w:rsid w:val="00A51646"/>
    <w:rsid w:val="00A53439"/>
    <w:rsid w:val="00A552B7"/>
    <w:rsid w:val="00A60F45"/>
    <w:rsid w:val="00A62924"/>
    <w:rsid w:val="00A64516"/>
    <w:rsid w:val="00A652D2"/>
    <w:rsid w:val="00A70242"/>
    <w:rsid w:val="00A7318B"/>
    <w:rsid w:val="00A737D3"/>
    <w:rsid w:val="00A74FC1"/>
    <w:rsid w:val="00A8123E"/>
    <w:rsid w:val="00A82DD8"/>
    <w:rsid w:val="00A9163B"/>
    <w:rsid w:val="00A9599D"/>
    <w:rsid w:val="00A96D02"/>
    <w:rsid w:val="00AA19A3"/>
    <w:rsid w:val="00AA7CBA"/>
    <w:rsid w:val="00AB0946"/>
    <w:rsid w:val="00AB1E80"/>
    <w:rsid w:val="00AB65ED"/>
    <w:rsid w:val="00AB7058"/>
    <w:rsid w:val="00AB7966"/>
    <w:rsid w:val="00AC31FF"/>
    <w:rsid w:val="00AC4DCC"/>
    <w:rsid w:val="00AC544D"/>
    <w:rsid w:val="00AD4298"/>
    <w:rsid w:val="00AD7FF7"/>
    <w:rsid w:val="00AE12E8"/>
    <w:rsid w:val="00AE4F41"/>
    <w:rsid w:val="00AE60A3"/>
    <w:rsid w:val="00AE7BFB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238A7"/>
    <w:rsid w:val="00B36D8B"/>
    <w:rsid w:val="00B44E7C"/>
    <w:rsid w:val="00B47006"/>
    <w:rsid w:val="00B5281E"/>
    <w:rsid w:val="00B54876"/>
    <w:rsid w:val="00B64D8E"/>
    <w:rsid w:val="00B657C4"/>
    <w:rsid w:val="00B7136E"/>
    <w:rsid w:val="00B81109"/>
    <w:rsid w:val="00B86DC3"/>
    <w:rsid w:val="00B93A79"/>
    <w:rsid w:val="00B94F0A"/>
    <w:rsid w:val="00BA1641"/>
    <w:rsid w:val="00BA183C"/>
    <w:rsid w:val="00BA52F8"/>
    <w:rsid w:val="00BA5CCD"/>
    <w:rsid w:val="00BB185F"/>
    <w:rsid w:val="00BB4995"/>
    <w:rsid w:val="00BB691F"/>
    <w:rsid w:val="00BB7B1C"/>
    <w:rsid w:val="00BC03EA"/>
    <w:rsid w:val="00BC0916"/>
    <w:rsid w:val="00BC134E"/>
    <w:rsid w:val="00BC1E75"/>
    <w:rsid w:val="00BC3636"/>
    <w:rsid w:val="00BC443A"/>
    <w:rsid w:val="00BC506E"/>
    <w:rsid w:val="00BC7004"/>
    <w:rsid w:val="00BC7685"/>
    <w:rsid w:val="00BC7B06"/>
    <w:rsid w:val="00BD0798"/>
    <w:rsid w:val="00BD1535"/>
    <w:rsid w:val="00BD4F51"/>
    <w:rsid w:val="00BD60DA"/>
    <w:rsid w:val="00BE17AD"/>
    <w:rsid w:val="00BE5999"/>
    <w:rsid w:val="00BF085C"/>
    <w:rsid w:val="00C01282"/>
    <w:rsid w:val="00C02777"/>
    <w:rsid w:val="00C0540E"/>
    <w:rsid w:val="00C10ACB"/>
    <w:rsid w:val="00C10E5F"/>
    <w:rsid w:val="00C11854"/>
    <w:rsid w:val="00C12186"/>
    <w:rsid w:val="00C1228E"/>
    <w:rsid w:val="00C23322"/>
    <w:rsid w:val="00C3367D"/>
    <w:rsid w:val="00C41946"/>
    <w:rsid w:val="00C42CB8"/>
    <w:rsid w:val="00C55BA1"/>
    <w:rsid w:val="00C56244"/>
    <w:rsid w:val="00C575CD"/>
    <w:rsid w:val="00C637B9"/>
    <w:rsid w:val="00C6675A"/>
    <w:rsid w:val="00C66A61"/>
    <w:rsid w:val="00C671C4"/>
    <w:rsid w:val="00C71A42"/>
    <w:rsid w:val="00C71C8A"/>
    <w:rsid w:val="00C71DEC"/>
    <w:rsid w:val="00C8403D"/>
    <w:rsid w:val="00C85B14"/>
    <w:rsid w:val="00C94145"/>
    <w:rsid w:val="00CA6452"/>
    <w:rsid w:val="00CB3931"/>
    <w:rsid w:val="00CB4945"/>
    <w:rsid w:val="00CB6A24"/>
    <w:rsid w:val="00CC4A50"/>
    <w:rsid w:val="00CC6475"/>
    <w:rsid w:val="00CD6ABE"/>
    <w:rsid w:val="00CD7968"/>
    <w:rsid w:val="00CE5EAD"/>
    <w:rsid w:val="00CF4BC5"/>
    <w:rsid w:val="00CF67FA"/>
    <w:rsid w:val="00D04D19"/>
    <w:rsid w:val="00D05309"/>
    <w:rsid w:val="00D05AEC"/>
    <w:rsid w:val="00D14ECD"/>
    <w:rsid w:val="00D15EA6"/>
    <w:rsid w:val="00D16CD3"/>
    <w:rsid w:val="00D17072"/>
    <w:rsid w:val="00D22257"/>
    <w:rsid w:val="00D224CD"/>
    <w:rsid w:val="00D30056"/>
    <w:rsid w:val="00D32401"/>
    <w:rsid w:val="00D34371"/>
    <w:rsid w:val="00D3763A"/>
    <w:rsid w:val="00D419BF"/>
    <w:rsid w:val="00D41A23"/>
    <w:rsid w:val="00D4345B"/>
    <w:rsid w:val="00D435E7"/>
    <w:rsid w:val="00D43A13"/>
    <w:rsid w:val="00D45E39"/>
    <w:rsid w:val="00D50EDC"/>
    <w:rsid w:val="00D513EE"/>
    <w:rsid w:val="00D51528"/>
    <w:rsid w:val="00D51C31"/>
    <w:rsid w:val="00D52934"/>
    <w:rsid w:val="00D52B15"/>
    <w:rsid w:val="00D53740"/>
    <w:rsid w:val="00D539CD"/>
    <w:rsid w:val="00D57D04"/>
    <w:rsid w:val="00D63C7D"/>
    <w:rsid w:val="00D6428C"/>
    <w:rsid w:val="00D64E46"/>
    <w:rsid w:val="00D6681C"/>
    <w:rsid w:val="00D66D7B"/>
    <w:rsid w:val="00D66DC4"/>
    <w:rsid w:val="00D77001"/>
    <w:rsid w:val="00D80797"/>
    <w:rsid w:val="00D8489E"/>
    <w:rsid w:val="00D876EE"/>
    <w:rsid w:val="00D9083F"/>
    <w:rsid w:val="00D911DE"/>
    <w:rsid w:val="00D92ECD"/>
    <w:rsid w:val="00D9569A"/>
    <w:rsid w:val="00D9594E"/>
    <w:rsid w:val="00D970C9"/>
    <w:rsid w:val="00DA00F6"/>
    <w:rsid w:val="00DA5C39"/>
    <w:rsid w:val="00DB1458"/>
    <w:rsid w:val="00DB2048"/>
    <w:rsid w:val="00DB480B"/>
    <w:rsid w:val="00DB6275"/>
    <w:rsid w:val="00DC1B54"/>
    <w:rsid w:val="00DC7AF0"/>
    <w:rsid w:val="00DD564D"/>
    <w:rsid w:val="00DD7FEF"/>
    <w:rsid w:val="00DE12F6"/>
    <w:rsid w:val="00DE330A"/>
    <w:rsid w:val="00DE377C"/>
    <w:rsid w:val="00DE72DA"/>
    <w:rsid w:val="00DF189E"/>
    <w:rsid w:val="00DF32DB"/>
    <w:rsid w:val="00DF4A70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34F43"/>
    <w:rsid w:val="00E44673"/>
    <w:rsid w:val="00E45813"/>
    <w:rsid w:val="00E473E0"/>
    <w:rsid w:val="00E47535"/>
    <w:rsid w:val="00E47758"/>
    <w:rsid w:val="00E479ED"/>
    <w:rsid w:val="00E57BDC"/>
    <w:rsid w:val="00E601DA"/>
    <w:rsid w:val="00E65055"/>
    <w:rsid w:val="00E708C7"/>
    <w:rsid w:val="00E7229F"/>
    <w:rsid w:val="00E85AD0"/>
    <w:rsid w:val="00EA29C9"/>
    <w:rsid w:val="00EA5527"/>
    <w:rsid w:val="00EB049D"/>
    <w:rsid w:val="00EB0595"/>
    <w:rsid w:val="00EB14FE"/>
    <w:rsid w:val="00EB23F2"/>
    <w:rsid w:val="00EB2BF8"/>
    <w:rsid w:val="00EB4BDD"/>
    <w:rsid w:val="00EC2418"/>
    <w:rsid w:val="00EC2F92"/>
    <w:rsid w:val="00ED01A5"/>
    <w:rsid w:val="00ED0757"/>
    <w:rsid w:val="00ED119F"/>
    <w:rsid w:val="00ED616E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EF56B5"/>
    <w:rsid w:val="00F11043"/>
    <w:rsid w:val="00F11704"/>
    <w:rsid w:val="00F13CBF"/>
    <w:rsid w:val="00F1792B"/>
    <w:rsid w:val="00F21EE7"/>
    <w:rsid w:val="00F32955"/>
    <w:rsid w:val="00F4195D"/>
    <w:rsid w:val="00F41E3B"/>
    <w:rsid w:val="00F52617"/>
    <w:rsid w:val="00F54E3A"/>
    <w:rsid w:val="00F639A6"/>
    <w:rsid w:val="00F7310D"/>
    <w:rsid w:val="00F73A4F"/>
    <w:rsid w:val="00F73CC0"/>
    <w:rsid w:val="00F74C78"/>
    <w:rsid w:val="00F83CE7"/>
    <w:rsid w:val="00F84A47"/>
    <w:rsid w:val="00F86653"/>
    <w:rsid w:val="00F87137"/>
    <w:rsid w:val="00F93437"/>
    <w:rsid w:val="00FA1EEC"/>
    <w:rsid w:val="00FB22DF"/>
    <w:rsid w:val="00FC4734"/>
    <w:rsid w:val="00FC611D"/>
    <w:rsid w:val="00FD0F1B"/>
    <w:rsid w:val="00FD42AE"/>
    <w:rsid w:val="00FD4337"/>
    <w:rsid w:val="00FD48A1"/>
    <w:rsid w:val="00FE10AE"/>
    <w:rsid w:val="00FE7F71"/>
    <w:rsid w:val="00FF27E0"/>
    <w:rsid w:val="00FF4C5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9F%D1%80%D0%B8%D0%B2%D1%80%D0%B5%D0%B4%D0%BD%D0%BE_%D0%B4%D1%80%D1%83%D1%88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32B0-6067-4453-A39C-466483BF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14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Korisnik</cp:lastModifiedBy>
  <cp:revision>642</cp:revision>
  <cp:lastPrinted>2024-10-28T13:29:00Z</cp:lastPrinted>
  <dcterms:created xsi:type="dcterms:W3CDTF">2016-03-02T12:43:00Z</dcterms:created>
  <dcterms:modified xsi:type="dcterms:W3CDTF">2024-11-19T10:54:00Z</dcterms:modified>
</cp:coreProperties>
</file>