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F96290">
        <w:t>2</w:t>
      </w:r>
      <w:r w:rsidR="00F96290">
        <w:rPr>
          <w:lang w:val="sr-Cyrl-CS"/>
        </w:rPr>
        <w:t>1</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F96290">
        <w:rPr>
          <w:lang w:val="sr-Cyrl-CS"/>
        </w:rPr>
        <w:t>30</w:t>
      </w:r>
      <w:r w:rsidR="0045384E">
        <w:rPr>
          <w:lang w:val="sr-Cyrl-CS"/>
        </w:rPr>
        <w:t>.11</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4A7AA1" w:rsidRDefault="001A5011" w:rsidP="006158F3">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F96290">
        <w:rPr>
          <w:lang w:val="sr-Latn-CS"/>
        </w:rPr>
        <w:t>nabavka rezervnih delova za teretni i putnički program.</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F96290">
        <w:t>15.12</w:t>
      </w:r>
      <w:r w:rsidR="001855BE">
        <w:t>.</w:t>
      </w:r>
      <w:r w:rsidR="00E048FE">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F96290">
        <w:rPr>
          <w:b/>
          <w:lang w:val="sr-Latn-CS"/>
        </w:rPr>
        <w:t>rezervne delove</w:t>
      </w:r>
      <w:r w:rsidR="00131B55">
        <w:rPr>
          <w:b/>
          <w:lang w:val="sr-Cyrl-CS"/>
        </w:rPr>
        <w:t xml:space="preserve"> </w:t>
      </w:r>
      <w:r w:rsidR="00131B55">
        <w:rPr>
          <w:b/>
          <w:lang w:val="sr-Latn-CS"/>
        </w:rPr>
        <w:t>partija 2</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F96290">
        <w:rPr>
          <w:b/>
        </w:rPr>
        <w:t xml:space="preserve"> 21</w:t>
      </w:r>
      <w:r w:rsidR="00E048FE">
        <w:rPr>
          <w:b/>
          <w:lang w:val="sr-Latn-CS"/>
        </w:rPr>
        <w:t>/2015</w:t>
      </w:r>
      <w:r>
        <w:rPr>
          <w:b/>
          <w:lang w:val="sr-Cyrl-CS"/>
        </w:rPr>
        <w:t>)</w:t>
      </w:r>
      <w:r w:rsidR="0030455D">
        <w:rPr>
          <w:b/>
          <w:lang w:val="sr-Latn-CS"/>
        </w:rPr>
        <w:t xml:space="preserve"> – re</w:t>
      </w:r>
      <w:r w:rsidR="009B571D">
        <w:rPr>
          <w:b/>
          <w:lang w:val="sr-Latn-CS"/>
        </w:rPr>
        <w:t>dni broj iz plana 01.</w:t>
      </w:r>
      <w:r w:rsidR="00F96290">
        <w:rPr>
          <w:b/>
          <w:lang w:val="sr-Latn-CS"/>
        </w:rPr>
        <w:t>01.10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F96290">
        <w:t>15.12</w:t>
      </w:r>
      <w:r w:rsidR="004A7AA1">
        <w:t>.2015</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F96290">
        <w:rPr>
          <w:lang w:val="sr-Latn-CS"/>
        </w:rPr>
        <w:t>rezervni delovi.</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F96290">
        <w:rPr>
          <w:lang w:val="sr-Latn-CS"/>
        </w:rPr>
        <w:t xml:space="preserve"> uslove plaćanja garantni rok.</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F96290" w:rsidRPr="00F900CE">
          <w:rPr>
            <w:rStyle w:val="Hyperlink"/>
            <w:lang w:val="sr-Latn-CS"/>
          </w:rPr>
          <w:t>laza.vidrak</w:t>
        </w:r>
        <w:r w:rsidR="00F96290" w:rsidRPr="00F900CE">
          <w:rPr>
            <w:rStyle w:val="Hyperlink"/>
          </w:rPr>
          <w:t>@gmail.com,pitanja</w:t>
        </w:r>
      </w:hyperlink>
      <w:r w:rsidR="00F96290">
        <w:t xml:space="preserve"> u vezi tehničkog dela ponude 065/22-40-900 Pažinović Miodrag</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131B55">
        <w:rPr>
          <w:b/>
          <w:lang w:val="sr-Latn-CS"/>
        </w:rPr>
        <w:t>REZERVNE DELOVE PARTIJA 2</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F96290">
        <w:rPr>
          <w:lang w:val="sr-Latn-CS"/>
        </w:rPr>
        <w:t>15.12</w:t>
      </w:r>
      <w:r w:rsidR="00D655C4">
        <w:rPr>
          <w:lang w:val="sr-Latn-CS"/>
        </w:rPr>
        <w:t>.</w:t>
      </w:r>
      <w:r w:rsidR="00E048FE">
        <w:rPr>
          <w:lang w:val="sr-Latn-CS"/>
        </w:rPr>
        <w:t>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F96290">
        <w:rPr>
          <w:b/>
          <w:lang w:val="sr-Latn-CS"/>
        </w:rPr>
        <w:t>0 časova dana 15.12</w:t>
      </w:r>
      <w:r w:rsidR="00E048FE">
        <w:rPr>
          <w:b/>
          <w:lang w:val="sr-Latn-CS"/>
        </w:rPr>
        <w:t>.2015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A933BC" w:rsidP="00F96290">
      <w:pPr>
        <w:tabs>
          <w:tab w:val="num" w:pos="720"/>
        </w:tabs>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lastRenderedPageBreak/>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F96290">
        <w:rPr>
          <w:lang w:val="sr-Latn-CS"/>
        </w:rPr>
        <w:t xml:space="preserve"> 21</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F96290">
              <w:rPr>
                <w:b/>
                <w:lang w:val="sr-Latn-CS"/>
              </w:rPr>
              <w:t xml:space="preserve"> 21</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F96290">
              <w:rPr>
                <w:lang w:val="sr-Latn-CS"/>
              </w:rPr>
              <w:t>REZERVNI DELOVI</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r>
      <w:r w:rsidR="00F96290">
        <w:rPr>
          <w:lang w:val="sr-Latn-CS"/>
        </w:rPr>
        <w:tab/>
        <w:t>M 2</w:t>
      </w:r>
      <w:r w:rsidR="00F96290">
        <w:rPr>
          <w:lang w:val="sr-Cyrl-CS"/>
        </w:rPr>
        <w:t>1</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F96290">
        <w:rPr>
          <w:sz w:val="28"/>
          <w:szCs w:val="28"/>
          <w:lang w:val="sr-Latn-CS"/>
        </w:rPr>
        <w:t>2</w:t>
      </w:r>
      <w:r w:rsidR="00F96290">
        <w:rPr>
          <w:sz w:val="28"/>
          <w:szCs w:val="28"/>
          <w:lang w:val="sr-Cyrl-CS"/>
        </w:rPr>
        <w:t>1</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F96290">
        <w:rPr>
          <w:sz w:val="28"/>
          <w:szCs w:val="28"/>
          <w:lang w:val="sr-Cyrl-CS"/>
        </w:rPr>
        <w:t>резервних делова</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131B55">
        <w:rPr>
          <w:b/>
          <w:sz w:val="32"/>
          <w:szCs w:val="32"/>
          <w:lang w:val="sr-Cyrl-CS"/>
        </w:rPr>
        <w:t xml:space="preserve">РЕЗЕРВНИ ДЕЛОВИ ПАРТИЈА </w:t>
      </w:r>
      <w:r w:rsidR="00131B55">
        <w:rPr>
          <w:b/>
          <w:sz w:val="32"/>
          <w:szCs w:val="32"/>
          <w:lang w:val="sr-Latn-CS"/>
        </w:rPr>
        <w:t>2</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4A4402">
              <w:rPr>
                <w:b/>
                <w:sz w:val="32"/>
                <w:szCs w:val="32"/>
                <w:lang w:val="sr-Cyrl-CS"/>
              </w:rPr>
              <w:t>21</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4A4402">
        <w:rPr>
          <w:lang w:val="sr-Cyrl-CS"/>
        </w:rPr>
        <w:t>аји резервних делова</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4A4402">
        <w:rPr>
          <w:b/>
          <w:sz w:val="28"/>
          <w:szCs w:val="28"/>
          <w:lang w:val="sr-Cyrl-CS"/>
        </w:rPr>
        <w:t>_______________________________________</w:t>
      </w:r>
      <w:r>
        <w:rPr>
          <w:b/>
          <w:sz w:val="28"/>
          <w:szCs w:val="28"/>
          <w:lang w:val="sr-Cyrl-CS"/>
        </w:rPr>
        <w:t>М</w:t>
      </w:r>
      <w:r w:rsidR="005E3DA3">
        <w:rPr>
          <w:b/>
          <w:sz w:val="28"/>
          <w:szCs w:val="28"/>
          <w:lang w:val="sr-Cyrl-CS"/>
        </w:rPr>
        <w:t>ат.б</w:t>
      </w:r>
      <w:r w:rsidR="004A4402">
        <w:rPr>
          <w:b/>
          <w:sz w:val="28"/>
          <w:szCs w:val="28"/>
          <w:lang w:val="sr-Cyrl-CS"/>
        </w:rPr>
        <w:t>р ______________________________</w:t>
      </w:r>
      <w:r>
        <w:rPr>
          <w:b/>
          <w:sz w:val="28"/>
          <w:szCs w:val="28"/>
          <w:lang w:val="sr-Cyrl-CS"/>
        </w:rPr>
        <w:t>Тек.ра</w:t>
      </w:r>
      <w:r w:rsidR="00D005EF">
        <w:rPr>
          <w:b/>
          <w:sz w:val="28"/>
          <w:szCs w:val="28"/>
          <w:lang w:val="sr-Cyrl-CS"/>
        </w:rPr>
        <w:t xml:space="preserve">чун </w:t>
      </w:r>
      <w:r w:rsidR="004A4402">
        <w:rPr>
          <w:b/>
          <w:sz w:val="28"/>
          <w:szCs w:val="28"/>
          <w:lang w:val="sr-Cyrl-CS"/>
        </w:rPr>
        <w:t>____________________</w:t>
      </w:r>
      <w:r w:rsidR="00676E7B">
        <w:rPr>
          <w:b/>
          <w:sz w:val="28"/>
          <w:szCs w:val="28"/>
          <w:lang w:val="sr-Cyrl-CS"/>
        </w:rPr>
        <w:t xml:space="preserve"> </w:t>
      </w:r>
      <w:r w:rsidR="00947F2D">
        <w:rPr>
          <w:b/>
          <w:sz w:val="28"/>
          <w:szCs w:val="28"/>
          <w:lang w:val="sr-Cyrl-CS"/>
        </w:rPr>
        <w:t xml:space="preserve"> ПИБ</w:t>
      </w:r>
      <w:r w:rsidR="005E4A84">
        <w:rPr>
          <w:b/>
          <w:sz w:val="28"/>
          <w:szCs w:val="28"/>
          <w:lang w:val="sr-Cyrl-CS"/>
        </w:rPr>
        <w:t xml:space="preserve"> </w:t>
      </w:r>
      <w:r w:rsidR="004A4402">
        <w:rPr>
          <w:b/>
          <w:sz w:val="28"/>
          <w:szCs w:val="28"/>
          <w:lang w:val="sr-Cyrl-CS"/>
        </w:rPr>
        <w:t>________________________</w:t>
      </w:r>
      <w:r>
        <w:rPr>
          <w:b/>
          <w:sz w:val="28"/>
          <w:szCs w:val="28"/>
          <w:lang w:val="sr-Cyrl-CS"/>
        </w:rPr>
        <w:t xml:space="preserve">кога </w:t>
      </w:r>
      <w:r w:rsidR="00E048FE">
        <w:rPr>
          <w:b/>
          <w:sz w:val="28"/>
          <w:szCs w:val="28"/>
          <w:lang w:val="sr-Cyrl-CS"/>
        </w:rPr>
        <w:t xml:space="preserve">заступа </w:t>
      </w:r>
      <w:r w:rsidR="004A4402">
        <w:rPr>
          <w:b/>
          <w:sz w:val="28"/>
          <w:szCs w:val="28"/>
          <w:lang w:val="sr-Cyrl-CS"/>
        </w:rPr>
        <w:t>директор________________</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4A4402">
        <w:rPr>
          <w:lang w:val="sr-Cyrl-CS"/>
        </w:rPr>
        <w:t>21</w:t>
      </w:r>
      <w:r w:rsidR="00E048FE">
        <w:rPr>
          <w:lang w:val="sr-Cyrl-CS"/>
        </w:rPr>
        <w:t>/15</w:t>
      </w:r>
      <w:r w:rsidR="00F575D2">
        <w:rPr>
          <w:lang w:val="sr-Cyrl-CS"/>
        </w:rPr>
        <w:t xml:space="preserve"> објављ</w:t>
      </w:r>
      <w:r w:rsidR="004A4402">
        <w:rPr>
          <w:lang w:val="sr-Cyrl-CS"/>
        </w:rPr>
        <w:t>ене на Порталу јавних набавки 30</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4A4402">
        <w:rPr>
          <w:lang w:val="sr-Cyrl-CS"/>
        </w:rPr>
        <w:t>а нових резервних делова за потребе возног парка.</w:t>
      </w:r>
      <w:r>
        <w:rPr>
          <w:lang w:val="sr-Cyrl-CS"/>
        </w:rPr>
        <w:t>Понуђач се обавезује да поступи по понуди</w:t>
      </w:r>
      <w:r w:rsidR="00676E7B">
        <w:rPr>
          <w:lang w:val="sr-Cyrl-CS"/>
        </w:rPr>
        <w:t xml:space="preserve"> бр.</w:t>
      </w:r>
      <w:r w:rsidR="004A4402">
        <w:rPr>
          <w:lang w:val="sr-Cyrl-CS"/>
        </w:rPr>
        <w:t>__________________</w:t>
      </w:r>
      <w:r w:rsidR="00676E7B">
        <w:rPr>
          <w:lang w:val="sr-Latn-CS"/>
        </w:rPr>
        <w:t xml:space="preserve"> </w:t>
      </w:r>
      <w:r w:rsidR="00676E7B">
        <w:rPr>
          <w:lang w:val="sr-Cyrl-CS"/>
        </w:rPr>
        <w:t>од</w:t>
      </w:r>
      <w:r w:rsidR="004A4402">
        <w:rPr>
          <w:lang w:val="sr-Latn-CS"/>
        </w:rPr>
        <w:t xml:space="preserve"> </w:t>
      </w:r>
      <w:r w:rsidR="004A4402">
        <w:rPr>
          <w:lang w:val="sr-Cyrl-CS"/>
        </w:rPr>
        <w:t>_______________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4A4402">
        <w:rPr>
          <w:lang w:val="sr-Cyrl-CS"/>
        </w:rPr>
        <w:t>кације.</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4A4402">
        <w:rPr>
          <w:lang w:val="sr-Cyrl-CS"/>
        </w:rPr>
        <w:t>_____________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4A4402">
        <w:rPr>
          <w:lang w:val="sr-Cyrl-CS"/>
        </w:rPr>
        <w:t>__________________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4A4402">
        <w:rPr>
          <w:lang w:val="sr-Cyrl-CS"/>
        </w:rPr>
        <w:t>_______________</w:t>
      </w:r>
      <w:r w:rsidR="00676E7B">
        <w:rPr>
          <w:lang w:val="sr-Latn-CS"/>
        </w:rPr>
        <w:t xml:space="preserve"> </w:t>
      </w:r>
      <w:r w:rsidR="00FC36DD" w:rsidRPr="00D26DEE">
        <w:rPr>
          <w:lang w:val="sr-Cyrl-CS"/>
        </w:rPr>
        <w:t>дин</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w:t>
      </w:r>
      <w:r w:rsidR="004A4402">
        <w:rPr>
          <w:lang w:val="sr-Cyrl-CS"/>
        </w:rPr>
        <w:t>року од____________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4A4402">
        <w:rPr>
          <w:lang w:val="sr-Cyrl-CS"/>
        </w:rPr>
        <w:t xml:space="preserve"> ФЦО магацин Купца или посредством брзе доставе уз плаћање трошкова доставе.Гарантни рок на испоручене делове износи _____________</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 xml:space="preserve">Плаћање испоручених добара вршиће се у року </w:t>
      </w:r>
      <w:r w:rsidR="00D4442C">
        <w:rPr>
          <w:b/>
          <w:u w:val="single"/>
          <w:lang w:val="sr-Cyrl-CS"/>
        </w:rPr>
        <w:t xml:space="preserve">од </w:t>
      </w:r>
      <w:r w:rsidR="004A4402">
        <w:rPr>
          <w:b/>
          <w:u w:val="single"/>
          <w:lang w:val="sr-Cyrl-CS"/>
        </w:rPr>
        <w:t>_______________</w:t>
      </w:r>
      <w:r>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4A4402">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131B55">
        <w:rPr>
          <w:b/>
          <w:lang w:val="sr-Cyrl-CS"/>
        </w:rPr>
        <w:t>2</w:t>
      </w:r>
      <w:r w:rsidR="00131B55">
        <w:rPr>
          <w:b/>
          <w:lang w:val="sr-Latn-CS"/>
        </w:rPr>
        <w:t>1</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4A4402"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w:t>
      </w:r>
      <w:r w:rsidR="00D61FE8">
        <w:rPr>
          <w:b/>
          <w:lang w:val="sr-Cyrl-CS"/>
        </w:rPr>
        <w:t xml:space="preserve"> ПОНУЂАЧ </w:t>
      </w:r>
    </w:p>
    <w:p w:rsidR="00E048FE" w:rsidRPr="004A4402" w:rsidRDefault="00D61FE8" w:rsidP="004A4402">
      <w:pPr>
        <w:tabs>
          <w:tab w:val="left" w:pos="912"/>
        </w:tabs>
        <w:spacing w:line="360" w:lineRule="auto"/>
        <w:jc w:val="both"/>
        <w:rPr>
          <w:b/>
          <w:lang w:val="sr-Cyrl-CS"/>
        </w:rPr>
      </w:pPr>
      <w:r>
        <w:rPr>
          <w:b/>
          <w:lang w:val="sr-Cyrl-CS"/>
        </w:rPr>
        <w:tab/>
      </w:r>
      <w:r>
        <w:rPr>
          <w:b/>
          <w:lang w:val="sr-Cyrl-CS"/>
        </w:rPr>
        <w:tab/>
      </w:r>
      <w:r w:rsidR="004A4402">
        <w:rPr>
          <w:b/>
          <w:lang w:val="sr-Cyrl-CS"/>
        </w:rPr>
        <w:tab/>
      </w:r>
      <w:r w:rsidR="004A4402">
        <w:rPr>
          <w:b/>
          <w:lang w:val="sr-Cyrl-CS"/>
        </w:rPr>
        <w:tab/>
      </w:r>
      <w:r w:rsidR="004A4402">
        <w:rPr>
          <w:b/>
          <w:lang w:val="sr-Cyrl-CS"/>
        </w:rPr>
        <w:tab/>
      </w:r>
      <w:r w:rsidR="004A4402">
        <w:rPr>
          <w:b/>
          <w:lang w:val="sr-Cyrl-CS"/>
        </w:rPr>
        <w:tab/>
      </w:r>
      <w:r w:rsidR="004A4402">
        <w:rPr>
          <w:b/>
          <w:lang w:val="sr-Cyrl-CS"/>
        </w:rPr>
        <w:tab/>
        <w:t>_________________________</w:t>
      </w: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4442C" w:rsidRPr="004A4402" w:rsidRDefault="00D4442C" w:rsidP="00D4442C">
      <w:pPr>
        <w:rPr>
          <w:lang w:val="sr-Cyrl-CS"/>
        </w:rPr>
      </w:pPr>
    </w:p>
    <w:p w:rsidR="00D4442C" w:rsidRPr="00D4442C" w:rsidRDefault="00D4442C" w:rsidP="00D4442C">
      <w:pPr>
        <w:spacing w:after="120"/>
        <w:rPr>
          <w:b/>
          <w:sz w:val="28"/>
          <w:szCs w:val="28"/>
          <w:lang w:val="sr-Cyrl-CS"/>
        </w:rPr>
      </w:pPr>
    </w:p>
    <w:p w:rsidR="005400B1" w:rsidRDefault="005400B1" w:rsidP="000C345A"/>
    <w:p w:rsidR="00F70E64" w:rsidRDefault="00F70E64" w:rsidP="000C345A"/>
    <w:p w:rsidR="00F70E64" w:rsidRDefault="00F70E64" w:rsidP="000C345A"/>
    <w:p w:rsidR="00F70E64" w:rsidRDefault="00F70E64" w:rsidP="000C345A"/>
    <w:p w:rsidR="00F70E64" w:rsidRDefault="00F70E64" w:rsidP="000C345A"/>
    <w:p w:rsidR="00F70E64" w:rsidRDefault="00F70E64" w:rsidP="000C345A"/>
    <w:p w:rsidR="00F3699F" w:rsidRDefault="00F3699F" w:rsidP="000C345A"/>
    <w:p w:rsidR="00F3699F" w:rsidRDefault="00F3699F" w:rsidP="000C345A"/>
    <w:p w:rsidR="00F3699F" w:rsidRDefault="00F3699F" w:rsidP="000C345A">
      <w:pPr>
        <w:sectPr w:rsidR="00F3699F" w:rsidSect="00F3699F">
          <w:headerReference w:type="default" r:id="rId11"/>
          <w:footerReference w:type="default" r:id="rId12"/>
          <w:pgSz w:w="12240" w:h="15840"/>
          <w:pgMar w:top="907" w:right="907" w:bottom="1021" w:left="1021" w:header="856" w:footer="119" w:gutter="0"/>
          <w:cols w:space="720"/>
          <w:docGrid w:linePitch="360"/>
        </w:sectPr>
      </w:pPr>
    </w:p>
    <w:p w:rsidR="00F3699F" w:rsidRDefault="00F3699F" w:rsidP="000C345A"/>
    <w:p w:rsidR="00131B55" w:rsidRPr="00B633E1" w:rsidRDefault="00131B55" w:rsidP="00131B55">
      <w:pPr>
        <w:ind w:right="-1260"/>
        <w:rPr>
          <w:b/>
          <w:sz w:val="36"/>
          <w:szCs w:val="36"/>
          <w:u w:val="single"/>
        </w:rPr>
      </w:pPr>
      <w:r w:rsidRPr="00B633E1">
        <w:rPr>
          <w:b/>
          <w:sz w:val="36"/>
          <w:szCs w:val="36"/>
          <w:u w:val="single"/>
        </w:rPr>
        <w:t>TEHNIČKA  SPECIFIKACIJA</w:t>
      </w:r>
      <w:r>
        <w:rPr>
          <w:b/>
          <w:sz w:val="36"/>
          <w:szCs w:val="36"/>
          <w:u w:val="single"/>
        </w:rPr>
        <w:t xml:space="preserve"> </w:t>
      </w:r>
      <w:r w:rsidRPr="00B633E1">
        <w:rPr>
          <w:b/>
          <w:sz w:val="36"/>
          <w:szCs w:val="36"/>
        </w:rPr>
        <w:t xml:space="preserve">     </w:t>
      </w:r>
      <w:r>
        <w:rPr>
          <w:b/>
          <w:sz w:val="36"/>
          <w:szCs w:val="36"/>
        </w:rPr>
        <w:t xml:space="preserve"> </w:t>
      </w:r>
      <w:r w:rsidRPr="00B633E1">
        <w:rPr>
          <w:b/>
          <w:sz w:val="36"/>
          <w:szCs w:val="36"/>
        </w:rPr>
        <w:t xml:space="preserve">     </w:t>
      </w:r>
      <w:r>
        <w:rPr>
          <w:b/>
          <w:sz w:val="36"/>
          <w:szCs w:val="36"/>
        </w:rPr>
        <w:t xml:space="preserve">   </w:t>
      </w:r>
      <w:r w:rsidRPr="00B633E1">
        <w:rPr>
          <w:b/>
          <w:sz w:val="36"/>
          <w:szCs w:val="36"/>
        </w:rPr>
        <w:t xml:space="preserve"> </w:t>
      </w:r>
      <w:r>
        <w:rPr>
          <w:b/>
          <w:sz w:val="36"/>
          <w:szCs w:val="36"/>
        </w:rPr>
        <w:t xml:space="preserve">NOVI  </w:t>
      </w:r>
      <w:r w:rsidRPr="00700EBE">
        <w:rPr>
          <w:b/>
          <w:sz w:val="36"/>
          <w:szCs w:val="36"/>
        </w:rPr>
        <w:t xml:space="preserve">REZERVNI DELOVI ZA KAMIONE  </w:t>
      </w:r>
    </w:p>
    <w:p w:rsidR="00131B55" w:rsidRPr="005022FC" w:rsidRDefault="00131B55" w:rsidP="00131B55">
      <w:pPr>
        <w:ind w:right="-1260"/>
        <w:rPr>
          <w:b/>
          <w:sz w:val="36"/>
          <w:szCs w:val="36"/>
        </w:rPr>
      </w:pPr>
      <w:r>
        <w:rPr>
          <w:b/>
          <w:sz w:val="36"/>
          <w:szCs w:val="36"/>
        </w:rPr>
        <w:t xml:space="preserve">           Partija 2                         </w:t>
      </w:r>
      <w:r w:rsidRPr="00700EBE">
        <w:rPr>
          <w:b/>
          <w:sz w:val="36"/>
          <w:szCs w:val="36"/>
        </w:rPr>
        <w:t xml:space="preserve">  </w:t>
      </w:r>
      <w:r>
        <w:rPr>
          <w:b/>
          <w:sz w:val="36"/>
          <w:szCs w:val="36"/>
        </w:rPr>
        <w:t xml:space="preserve">                                   </w:t>
      </w:r>
      <w:r w:rsidRPr="00700EBE">
        <w:rPr>
          <w:b/>
          <w:sz w:val="36"/>
          <w:szCs w:val="36"/>
        </w:rPr>
        <w:t xml:space="preserve">  </w:t>
      </w:r>
      <w:r w:rsidRPr="00B5334C">
        <w:rPr>
          <w:b/>
          <w:sz w:val="32"/>
          <w:szCs w:val="32"/>
          <w:u w:val="single"/>
        </w:rPr>
        <w:t>PNEUMATIKA I HIDRAULIKA</w:t>
      </w:r>
    </w:p>
    <w:tbl>
      <w:tblPr>
        <w:tblpPr w:leftFromText="180" w:rightFromText="180" w:vertAnchor="text" w:horzAnchor="margin" w:tblpXSpec="center" w:tblpY="181"/>
        <w:tblW w:w="14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843"/>
        <w:gridCol w:w="1984"/>
        <w:gridCol w:w="1418"/>
        <w:gridCol w:w="1559"/>
        <w:gridCol w:w="2149"/>
      </w:tblGrid>
      <w:tr w:rsidR="00131B55" w:rsidRPr="00EC5994" w:rsidTr="00DF7470">
        <w:tc>
          <w:tcPr>
            <w:tcW w:w="534"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ind w:right="-108"/>
              <w:rPr>
                <w:b/>
              </w:rPr>
            </w:pPr>
            <w:r w:rsidRPr="00EC5994">
              <w:rPr>
                <w:b/>
              </w:rPr>
              <w:t>RB</w:t>
            </w:r>
          </w:p>
        </w:tc>
        <w:tc>
          <w:tcPr>
            <w:tcW w:w="5386"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Naziv artikla</w:t>
            </w:r>
          </w:p>
        </w:tc>
        <w:tc>
          <w:tcPr>
            <w:tcW w:w="1843"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Kataloški</w:t>
            </w:r>
          </w:p>
          <w:p w:rsidR="00131B55" w:rsidRPr="00EC5994" w:rsidRDefault="00131B55" w:rsidP="00DF7470">
            <w:pPr>
              <w:jc w:val="center"/>
              <w:rPr>
                <w:b/>
                <w:sz w:val="32"/>
                <w:szCs w:val="32"/>
              </w:rPr>
            </w:pPr>
            <w:r w:rsidRPr="00EC5994">
              <w:rPr>
                <w:b/>
                <w:sz w:val="32"/>
                <w:szCs w:val="32"/>
              </w:rPr>
              <w:t>broj</w:t>
            </w:r>
          </w:p>
        </w:tc>
        <w:tc>
          <w:tcPr>
            <w:tcW w:w="1984"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rFonts w:eastAsia="Calibri"/>
                <w:b/>
                <w:sz w:val="32"/>
                <w:szCs w:val="32"/>
              </w:rPr>
              <w:t>Ekvivalent</w:t>
            </w:r>
          </w:p>
        </w:tc>
        <w:tc>
          <w:tcPr>
            <w:tcW w:w="1418"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Količina</w:t>
            </w:r>
          </w:p>
        </w:tc>
        <w:tc>
          <w:tcPr>
            <w:tcW w:w="1559"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Jed. cena</w:t>
            </w:r>
          </w:p>
        </w:tc>
        <w:tc>
          <w:tcPr>
            <w:tcW w:w="2149" w:type="dxa"/>
            <w:tcBorders>
              <w:top w:val="single" w:sz="18" w:space="0" w:color="auto"/>
              <w:left w:val="single" w:sz="18" w:space="0" w:color="auto"/>
              <w:bottom w:val="single" w:sz="18" w:space="0" w:color="auto"/>
              <w:right w:val="single" w:sz="18" w:space="0" w:color="auto"/>
            </w:tcBorders>
            <w:shd w:val="clear" w:color="auto" w:fill="CCCCCC"/>
            <w:vAlign w:val="center"/>
          </w:tcPr>
          <w:p w:rsidR="00131B55" w:rsidRPr="00EC5994" w:rsidRDefault="00131B55" w:rsidP="00DF7470">
            <w:pPr>
              <w:jc w:val="center"/>
              <w:rPr>
                <w:b/>
                <w:sz w:val="32"/>
                <w:szCs w:val="32"/>
              </w:rPr>
            </w:pPr>
            <w:r w:rsidRPr="00EC5994">
              <w:rPr>
                <w:b/>
                <w:sz w:val="32"/>
                <w:szCs w:val="32"/>
              </w:rPr>
              <w:t>Ukupna  vrednost</w:t>
            </w:r>
          </w:p>
        </w:tc>
      </w:tr>
      <w:tr w:rsidR="00131B55" w:rsidRPr="00EC5994" w:rsidTr="00DF7470">
        <w:tc>
          <w:tcPr>
            <w:tcW w:w="534" w:type="dxa"/>
            <w:tcBorders>
              <w:top w:val="single" w:sz="18" w:space="0" w:color="auto"/>
              <w:left w:val="single" w:sz="18" w:space="0" w:color="auto"/>
              <w:right w:val="single" w:sz="18" w:space="0" w:color="auto"/>
            </w:tcBorders>
            <w:vAlign w:val="center"/>
          </w:tcPr>
          <w:p w:rsidR="00131B55" w:rsidRPr="00E94938" w:rsidRDefault="00131B55" w:rsidP="00DF7470">
            <w:pPr>
              <w:jc w:val="center"/>
              <w:rPr>
                <w:b/>
              </w:rPr>
            </w:pPr>
            <w:r w:rsidRPr="00E94938">
              <w:rPr>
                <w:b/>
              </w:rPr>
              <w:t>1</w:t>
            </w:r>
          </w:p>
        </w:tc>
        <w:tc>
          <w:tcPr>
            <w:tcW w:w="5386" w:type="dxa"/>
            <w:tcBorders>
              <w:top w:val="single" w:sz="18" w:space="0" w:color="auto"/>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Kočna hidraulika   FAP 1616,1620,1921,2226</w:t>
            </w:r>
          </w:p>
          <w:p w:rsidR="00131B55" w:rsidRPr="00E94938" w:rsidRDefault="00131B55" w:rsidP="00DF7470">
            <w:pPr>
              <w:rPr>
                <w:rFonts w:eastAsia="Calibri"/>
                <w:b/>
              </w:rPr>
            </w:pPr>
            <w:r w:rsidRPr="00E94938">
              <w:rPr>
                <w:rFonts w:eastAsia="Calibri"/>
                <w:b/>
              </w:rPr>
              <w:t>( uljni cilindar – glavni kočioni u kabini )</w:t>
            </w:r>
          </w:p>
        </w:tc>
        <w:tc>
          <w:tcPr>
            <w:tcW w:w="1843" w:type="dxa"/>
            <w:tcBorders>
              <w:top w:val="single" w:sz="18" w:space="0" w:color="auto"/>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206 - 78000</w:t>
            </w:r>
          </w:p>
        </w:tc>
        <w:tc>
          <w:tcPr>
            <w:tcW w:w="1984" w:type="dxa"/>
            <w:tcBorders>
              <w:top w:val="single" w:sz="18" w:space="0" w:color="auto"/>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top w:val="single" w:sz="18" w:space="0" w:color="auto"/>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top w:val="single" w:sz="18" w:space="0" w:color="auto"/>
              <w:left w:val="single" w:sz="18" w:space="0" w:color="auto"/>
              <w:right w:val="single" w:sz="18" w:space="0" w:color="auto"/>
            </w:tcBorders>
          </w:tcPr>
          <w:p w:rsidR="00131B55" w:rsidRPr="00E94938" w:rsidRDefault="00131B55" w:rsidP="00DF7470">
            <w:pPr>
              <w:rPr>
                <w:rFonts w:eastAsia="Calibri"/>
                <w:b/>
              </w:rPr>
            </w:pPr>
          </w:p>
        </w:tc>
        <w:tc>
          <w:tcPr>
            <w:tcW w:w="2149" w:type="dxa"/>
            <w:tcBorders>
              <w:top w:val="single" w:sz="18" w:space="0" w:color="auto"/>
              <w:left w:val="single" w:sz="18" w:space="0" w:color="auto"/>
              <w:right w:val="single" w:sz="18" w:space="0" w:color="auto"/>
            </w:tcBorders>
          </w:tcPr>
          <w:p w:rsidR="00131B55" w:rsidRPr="00E94938" w:rsidRDefault="00131B55" w:rsidP="00DF7470">
            <w:pPr>
              <w:rPr>
                <w:rFonts w:eastAsia="Calibri"/>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2</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Cilindar pojačivač  ULT 160C</w:t>
            </w:r>
          </w:p>
          <w:p w:rsidR="00131B55" w:rsidRPr="00E94938" w:rsidRDefault="00131B55" w:rsidP="00DF7470">
            <w:pPr>
              <w:rPr>
                <w:rFonts w:eastAsia="Calibri"/>
                <w:b/>
              </w:rPr>
            </w:pPr>
            <w:r w:rsidRPr="00E94938">
              <w:rPr>
                <w:rFonts w:eastAsia="Calibri"/>
                <w:b/>
              </w:rPr>
              <w:t>( kočioni cilindar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40800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rPr>
                <w:rFonts w:eastAsia="Calibri"/>
                <w:b/>
              </w:rPr>
            </w:pPr>
          </w:p>
        </w:tc>
        <w:tc>
          <w:tcPr>
            <w:tcW w:w="2149" w:type="dxa"/>
            <w:tcBorders>
              <w:left w:val="single" w:sz="18" w:space="0" w:color="auto"/>
              <w:right w:val="single" w:sz="18" w:space="0" w:color="auto"/>
            </w:tcBorders>
          </w:tcPr>
          <w:p w:rsidR="00131B55" w:rsidRPr="00E94938" w:rsidRDefault="00131B55" w:rsidP="00DF7470">
            <w:pPr>
              <w:rPr>
                <w:rFonts w:eastAsia="Calibri"/>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3</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Jednokružni glavni cilindar  TAM 130, ULT 160C</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34700/1</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center"/>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center"/>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4</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Cilindar spojnice   FAP 1616,1620,1921,2226</w:t>
            </w:r>
          </w:p>
          <w:p w:rsidR="00131B55" w:rsidRPr="00E94938" w:rsidRDefault="00131B55" w:rsidP="00DF7470">
            <w:pPr>
              <w:rPr>
                <w:rFonts w:eastAsia="Calibri"/>
                <w:b/>
              </w:rPr>
            </w:pPr>
            <w:r w:rsidRPr="00E94938">
              <w:rPr>
                <w:rFonts w:eastAsia="Calibri"/>
                <w:b/>
              </w:rPr>
              <w:t xml:space="preserve">( primarni cilindar kvačila )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79000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center"/>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center"/>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5</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Cilindar spojnice    FAP 1616,1620,1921,2226</w:t>
            </w:r>
          </w:p>
          <w:p w:rsidR="00131B55" w:rsidRPr="00E94938" w:rsidRDefault="00131B55" w:rsidP="00DF7470">
            <w:pPr>
              <w:rPr>
                <w:rFonts w:eastAsia="Calibri"/>
                <w:b/>
              </w:rPr>
            </w:pPr>
            <w:r w:rsidRPr="00E94938">
              <w:rPr>
                <w:rFonts w:eastAsia="Calibri"/>
                <w:b/>
              </w:rPr>
              <w:t>( sekundarni cilindar kvačila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5 320 00 214 0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center"/>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center"/>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6</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Uređaj specijalne namene – razvodnik   FAP 1921</w:t>
            </w:r>
          </w:p>
          <w:p w:rsidR="00131B55" w:rsidRPr="00E94938" w:rsidRDefault="00131B55" w:rsidP="00DF7470">
            <w:pPr>
              <w:rPr>
                <w:rFonts w:eastAsia="Calibri"/>
                <w:b/>
              </w:rPr>
            </w:pPr>
            <w:r w:rsidRPr="00E94938">
              <w:rPr>
                <w:rFonts w:eastAsia="Calibri"/>
                <w:b/>
              </w:rPr>
              <w:t>( ventil kipe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46500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7</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Regulacioni ventil  TAM 130</w:t>
            </w:r>
          </w:p>
          <w:p w:rsidR="00131B55" w:rsidRPr="00E94938" w:rsidRDefault="00131B55" w:rsidP="00DF7470">
            <w:pPr>
              <w:rPr>
                <w:rFonts w:eastAsia="Calibri"/>
                <w:b/>
              </w:rPr>
            </w:pPr>
            <w:r w:rsidRPr="00E94938">
              <w:rPr>
                <w:rFonts w:eastAsia="Calibri"/>
                <w:b/>
              </w:rPr>
              <w:t xml:space="preserve">( vazdušni ventil – kruškasti )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206 - 11300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8</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Komandni ventil prikolice TAM 130, FAP    ( evropa ventil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5 234 10 521 0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9</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Pumpa volana FAP</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4673 127</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1</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10</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Pumpa volana TAM 130</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1</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11</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Primarni kočioni cilindar FAP</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206-78000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4</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12</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Glavni kočioni cilindar TAM 75</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1468112</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5</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13</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Četvorokružni ventil – TAM 130</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314 059 001</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right w:val="single" w:sz="18" w:space="0" w:color="auto"/>
            </w:tcBorders>
            <w:vAlign w:val="center"/>
          </w:tcPr>
          <w:p w:rsidR="00131B55" w:rsidRPr="00E94938" w:rsidRDefault="00131B55" w:rsidP="00DF7470">
            <w:pPr>
              <w:jc w:val="center"/>
              <w:rPr>
                <w:b/>
              </w:rPr>
            </w:pPr>
            <w:r w:rsidRPr="00E94938">
              <w:rPr>
                <w:b/>
              </w:rPr>
              <w:t>14</w:t>
            </w:r>
          </w:p>
        </w:tc>
        <w:tc>
          <w:tcPr>
            <w:tcW w:w="5386" w:type="dxa"/>
            <w:tcBorders>
              <w:left w:val="single" w:sz="18" w:space="0" w:color="auto"/>
              <w:right w:val="single" w:sz="18" w:space="0" w:color="auto"/>
            </w:tcBorders>
          </w:tcPr>
          <w:p w:rsidR="00131B55" w:rsidRPr="00E94938" w:rsidRDefault="00131B55" w:rsidP="00DF7470">
            <w:pPr>
              <w:rPr>
                <w:rFonts w:eastAsia="Calibri"/>
                <w:b/>
              </w:rPr>
            </w:pPr>
            <w:r w:rsidRPr="00E94938">
              <w:rPr>
                <w:rFonts w:eastAsia="Calibri"/>
                <w:b/>
              </w:rPr>
              <w:t xml:space="preserve">Četvorokružni ventil – naspramni – FAP </w:t>
            </w:r>
          </w:p>
        </w:tc>
        <w:tc>
          <w:tcPr>
            <w:tcW w:w="1843"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241 14 040 0</w:t>
            </w:r>
          </w:p>
        </w:tc>
        <w:tc>
          <w:tcPr>
            <w:tcW w:w="1984" w:type="dxa"/>
            <w:tcBorders>
              <w:left w:val="single" w:sz="18" w:space="0" w:color="auto"/>
              <w:right w:val="single" w:sz="18" w:space="0" w:color="auto"/>
            </w:tcBorders>
            <w:vAlign w:val="center"/>
          </w:tcPr>
          <w:p w:rsidR="00131B55" w:rsidRPr="00E94938" w:rsidRDefault="00131B55" w:rsidP="00DF7470">
            <w:pPr>
              <w:jc w:val="center"/>
              <w:rPr>
                <w:rFonts w:eastAsia="Calibri"/>
                <w:b/>
              </w:rPr>
            </w:pPr>
          </w:p>
        </w:tc>
        <w:tc>
          <w:tcPr>
            <w:tcW w:w="1418" w:type="dxa"/>
            <w:tcBorders>
              <w:left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right w:val="single" w:sz="18" w:space="0" w:color="auto"/>
            </w:tcBorders>
          </w:tcPr>
          <w:p w:rsidR="00131B55" w:rsidRPr="00E94938" w:rsidRDefault="00131B55" w:rsidP="00DF7470">
            <w:pPr>
              <w:ind w:left="612" w:firstLine="360"/>
              <w:jc w:val="right"/>
              <w:rPr>
                <w:b/>
              </w:rPr>
            </w:pPr>
          </w:p>
        </w:tc>
      </w:tr>
      <w:tr w:rsidR="00131B55" w:rsidRPr="00EC5994" w:rsidTr="00DF7470">
        <w:tc>
          <w:tcPr>
            <w:tcW w:w="534" w:type="dxa"/>
            <w:tcBorders>
              <w:left w:val="single" w:sz="18" w:space="0" w:color="auto"/>
              <w:bottom w:val="single" w:sz="18" w:space="0" w:color="auto"/>
              <w:right w:val="single" w:sz="18" w:space="0" w:color="auto"/>
            </w:tcBorders>
            <w:vAlign w:val="center"/>
          </w:tcPr>
          <w:p w:rsidR="00131B55" w:rsidRPr="00E94938" w:rsidRDefault="00131B55" w:rsidP="00DF7470">
            <w:pPr>
              <w:jc w:val="center"/>
              <w:rPr>
                <w:b/>
              </w:rPr>
            </w:pPr>
            <w:r w:rsidRPr="00E94938">
              <w:rPr>
                <w:b/>
              </w:rPr>
              <w:t>15</w:t>
            </w:r>
          </w:p>
        </w:tc>
        <w:tc>
          <w:tcPr>
            <w:tcW w:w="5386" w:type="dxa"/>
            <w:tcBorders>
              <w:left w:val="single" w:sz="18" w:space="0" w:color="auto"/>
              <w:bottom w:val="single" w:sz="18" w:space="0" w:color="auto"/>
              <w:right w:val="single" w:sz="18" w:space="0" w:color="auto"/>
            </w:tcBorders>
          </w:tcPr>
          <w:p w:rsidR="00131B55" w:rsidRPr="00E94938" w:rsidRDefault="00131B55" w:rsidP="00DF7470">
            <w:pPr>
              <w:rPr>
                <w:rFonts w:eastAsia="Calibri"/>
                <w:b/>
              </w:rPr>
            </w:pPr>
            <w:r w:rsidRPr="00E94938">
              <w:rPr>
                <w:rFonts w:eastAsia="Calibri"/>
                <w:b/>
              </w:rPr>
              <w:t xml:space="preserve">Četvorokružni ventil – u nizu – FAP </w:t>
            </w:r>
          </w:p>
        </w:tc>
        <w:tc>
          <w:tcPr>
            <w:tcW w:w="1843" w:type="dxa"/>
            <w:tcBorders>
              <w:left w:val="single" w:sz="18" w:space="0" w:color="auto"/>
              <w:bottom w:val="single" w:sz="18" w:space="0" w:color="auto"/>
              <w:right w:val="single" w:sz="18" w:space="0" w:color="auto"/>
            </w:tcBorders>
            <w:vAlign w:val="center"/>
          </w:tcPr>
          <w:p w:rsidR="00131B55" w:rsidRPr="00E94938" w:rsidRDefault="00131B55" w:rsidP="00DF7470">
            <w:pPr>
              <w:jc w:val="center"/>
              <w:rPr>
                <w:rFonts w:eastAsia="Calibri"/>
                <w:b/>
              </w:rPr>
            </w:pPr>
            <w:r w:rsidRPr="00E94938">
              <w:rPr>
                <w:rFonts w:eastAsia="Calibri"/>
                <w:b/>
              </w:rPr>
              <w:t>241 14 210 0</w:t>
            </w:r>
          </w:p>
        </w:tc>
        <w:tc>
          <w:tcPr>
            <w:tcW w:w="1984" w:type="dxa"/>
            <w:tcBorders>
              <w:left w:val="single" w:sz="18" w:space="0" w:color="auto"/>
              <w:bottom w:val="single" w:sz="18" w:space="0" w:color="auto"/>
              <w:right w:val="single" w:sz="18" w:space="0" w:color="auto"/>
            </w:tcBorders>
          </w:tcPr>
          <w:p w:rsidR="00131B55" w:rsidRPr="00E94938" w:rsidRDefault="00131B55" w:rsidP="00DF7470">
            <w:pPr>
              <w:jc w:val="center"/>
              <w:rPr>
                <w:rFonts w:eastAsia="Calibri"/>
                <w:b/>
              </w:rPr>
            </w:pPr>
          </w:p>
        </w:tc>
        <w:tc>
          <w:tcPr>
            <w:tcW w:w="1418" w:type="dxa"/>
            <w:tcBorders>
              <w:left w:val="single" w:sz="18" w:space="0" w:color="auto"/>
              <w:bottom w:val="single" w:sz="18" w:space="0" w:color="auto"/>
              <w:right w:val="single" w:sz="18" w:space="0" w:color="auto"/>
            </w:tcBorders>
          </w:tcPr>
          <w:p w:rsidR="00131B55" w:rsidRPr="00E94938" w:rsidRDefault="00131B55" w:rsidP="00DF7470">
            <w:pPr>
              <w:jc w:val="center"/>
              <w:rPr>
                <w:rFonts w:eastAsia="Calibri"/>
                <w:b/>
              </w:rPr>
            </w:pPr>
            <w:r w:rsidRPr="00E94938">
              <w:rPr>
                <w:rFonts w:eastAsia="Calibri"/>
                <w:b/>
              </w:rPr>
              <w:t>2</w:t>
            </w:r>
          </w:p>
        </w:tc>
        <w:tc>
          <w:tcPr>
            <w:tcW w:w="1559" w:type="dxa"/>
            <w:tcBorders>
              <w:left w:val="single" w:sz="18" w:space="0" w:color="auto"/>
              <w:bottom w:val="single" w:sz="18" w:space="0" w:color="auto"/>
              <w:right w:val="single" w:sz="18" w:space="0" w:color="auto"/>
            </w:tcBorders>
          </w:tcPr>
          <w:p w:rsidR="00131B55" w:rsidRPr="00E94938" w:rsidRDefault="00131B55" w:rsidP="00DF7470">
            <w:pPr>
              <w:ind w:left="612" w:firstLine="360"/>
              <w:jc w:val="right"/>
              <w:rPr>
                <w:b/>
              </w:rPr>
            </w:pPr>
          </w:p>
        </w:tc>
        <w:tc>
          <w:tcPr>
            <w:tcW w:w="2149" w:type="dxa"/>
            <w:tcBorders>
              <w:left w:val="single" w:sz="18" w:space="0" w:color="auto"/>
              <w:bottom w:val="single" w:sz="18" w:space="0" w:color="auto"/>
              <w:right w:val="single" w:sz="18" w:space="0" w:color="auto"/>
            </w:tcBorders>
          </w:tcPr>
          <w:p w:rsidR="00131B55" w:rsidRPr="00E94938" w:rsidRDefault="00131B55" w:rsidP="00DF7470">
            <w:pPr>
              <w:ind w:left="612" w:firstLine="360"/>
              <w:jc w:val="right"/>
              <w:rPr>
                <w:b/>
              </w:rPr>
            </w:pPr>
          </w:p>
        </w:tc>
      </w:tr>
    </w:tbl>
    <w:p w:rsidR="00131B55" w:rsidRDefault="00131B55" w:rsidP="00131B55">
      <w:pPr>
        <w:ind w:left="-851"/>
      </w:pPr>
    </w:p>
    <w:p w:rsidR="001620A5" w:rsidRDefault="00131B55" w:rsidP="000C345A">
      <w:r>
        <w:tab/>
      </w:r>
      <w:r>
        <w:tab/>
      </w:r>
      <w:r>
        <w:tab/>
      </w:r>
      <w:r>
        <w:tab/>
      </w:r>
      <w:r>
        <w:tab/>
      </w:r>
      <w:r>
        <w:tab/>
      </w:r>
      <w:r>
        <w:tab/>
      </w:r>
      <w:r>
        <w:tab/>
      </w:r>
      <w:r>
        <w:tab/>
      </w:r>
      <w:r>
        <w:tab/>
      </w:r>
      <w:r>
        <w:tab/>
      </w:r>
      <w:r>
        <w:tab/>
      </w:r>
      <w:r>
        <w:tab/>
        <w:t xml:space="preserve">  PONUĐAČ</w:t>
      </w:r>
    </w:p>
    <w:p w:rsidR="00131B55" w:rsidRDefault="00131B55" w:rsidP="000C345A">
      <w:r>
        <w:tab/>
      </w:r>
      <w:r>
        <w:tab/>
      </w:r>
      <w:r>
        <w:tab/>
      </w:r>
      <w:r>
        <w:tab/>
      </w:r>
      <w:r>
        <w:tab/>
      </w:r>
      <w:r>
        <w:tab/>
      </w:r>
      <w:r>
        <w:tab/>
      </w:r>
      <w:r>
        <w:tab/>
      </w:r>
      <w:r>
        <w:tab/>
      </w:r>
      <w:r>
        <w:tab/>
      </w:r>
      <w:r>
        <w:tab/>
      </w:r>
      <w:r>
        <w:tab/>
        <w:t>_________________________</w:t>
      </w:r>
    </w:p>
    <w:p w:rsidR="001620A5" w:rsidRDefault="001620A5" w:rsidP="000C345A"/>
    <w:p w:rsidR="001620A5" w:rsidRDefault="001620A5" w:rsidP="000C345A"/>
    <w:p w:rsidR="00F70E64" w:rsidRPr="00F70E64" w:rsidRDefault="00F70E64" w:rsidP="000C345A"/>
    <w:sectPr w:rsidR="00F70E64" w:rsidRPr="00F70E64" w:rsidSect="00F3699F">
      <w:pgSz w:w="15840" w:h="12240" w:orient="landscape" w:code="1"/>
      <w:pgMar w:top="1022" w:right="907" w:bottom="907"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D50" w:rsidRDefault="00232D50" w:rsidP="00202175">
      <w:r>
        <w:separator/>
      </w:r>
    </w:p>
  </w:endnote>
  <w:endnote w:type="continuationSeparator" w:id="1">
    <w:p w:rsidR="00232D50" w:rsidRDefault="00232D50"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F96290" w:rsidRDefault="00130CA5">
        <w:pPr>
          <w:pStyle w:val="Footer"/>
          <w:jc w:val="center"/>
        </w:pPr>
        <w:fldSimple w:instr=" PAGE   \* MERGEFORMAT ">
          <w:r w:rsidR="00131B55">
            <w:rPr>
              <w:noProof/>
            </w:rPr>
            <w:t>17</w:t>
          </w:r>
        </w:fldSimple>
      </w:p>
    </w:sdtContent>
  </w:sdt>
  <w:p w:rsidR="00F96290" w:rsidRPr="00202175" w:rsidRDefault="00F96290"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D50" w:rsidRDefault="00232D50" w:rsidP="00202175">
      <w:r>
        <w:separator/>
      </w:r>
    </w:p>
  </w:footnote>
  <w:footnote w:type="continuationSeparator" w:id="1">
    <w:p w:rsidR="00232D50" w:rsidRDefault="00232D50"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90" w:rsidRDefault="00130CA5">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F96290" w:rsidRPr="00F96290" w:rsidRDefault="00130CA5">
                  <w:pPr>
                    <w:pStyle w:val="Header"/>
                    <w:rPr>
                      <w:color w:val="FFFFFF" w:themeColor="background1"/>
                      <w:sz w:val="28"/>
                      <w:szCs w:val="28"/>
                      <w:lang w:val="sr-Cyrl-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F96290">
                        <w:rPr>
                          <w:i/>
                          <w:color w:val="FFFFFF" w:themeColor="background1"/>
                          <w:sz w:val="28"/>
                          <w:szCs w:val="28"/>
                          <w:lang w:val="sr-Cyrl-CS"/>
                        </w:rPr>
                        <w:t xml:space="preserve">Конкурсна документација за јавну набавку добра </w:t>
                      </w:r>
                      <w:r w:rsidR="00F96290">
                        <w:rPr>
                          <w:i/>
                          <w:color w:val="FFFFFF" w:themeColor="background1"/>
                          <w:sz w:val="28"/>
                          <w:szCs w:val="28"/>
                        </w:rPr>
                        <w:t xml:space="preserve"> </w:t>
                      </w:r>
                      <w:r w:rsidR="00F96290">
                        <w:rPr>
                          <w:i/>
                          <w:color w:val="FFFFFF" w:themeColor="background1"/>
                          <w:sz w:val="28"/>
                          <w:szCs w:val="28"/>
                          <w:lang w:val="sr-Cyrl-CS"/>
                        </w:rPr>
                        <w:t xml:space="preserve">Резервни делови– </w:t>
                      </w:r>
                    </w:sdtContent>
                  </w:sdt>
                  <w:r w:rsidR="00F96290">
                    <w:rPr>
                      <w:i/>
                      <w:color w:val="FFFFFF" w:themeColor="background1"/>
                      <w:sz w:val="28"/>
                      <w:szCs w:val="28"/>
                      <w:lang w:val="sr-Cyrl-CS"/>
                    </w:rPr>
                    <w:t xml:space="preserve"> М</w:t>
                  </w:r>
                  <w:r w:rsidR="00F96290">
                    <w:rPr>
                      <w:i/>
                      <w:color w:val="FFFFFF" w:themeColor="background1"/>
                      <w:sz w:val="28"/>
                      <w:szCs w:val="28"/>
                    </w:rPr>
                    <w:t xml:space="preserve"> </w:t>
                  </w:r>
                  <w:r w:rsidR="00F96290">
                    <w:rPr>
                      <w:i/>
                      <w:color w:val="FFFFFF" w:themeColor="background1"/>
                      <w:sz w:val="28"/>
                      <w:szCs w:val="28"/>
                      <w:lang w:val="sr-Cyrl-CS"/>
                    </w:rPr>
                    <w:t>21/1</w:t>
                  </w:r>
                  <w:r w:rsidR="00F96290">
                    <w:rPr>
                      <w:i/>
                      <w:color w:val="FFFFFF" w:themeColor="background1"/>
                      <w:sz w:val="28"/>
                      <w:szCs w:val="28"/>
                    </w:rPr>
                    <w:t xml:space="preserve">5- </w:t>
                  </w:r>
                  <w:r w:rsidR="00131B55">
                    <w:rPr>
                      <w:i/>
                      <w:color w:val="FFFFFF" w:themeColor="background1"/>
                      <w:sz w:val="28"/>
                      <w:szCs w:val="28"/>
                      <w:lang w:val="sr-Cyrl-CS"/>
                    </w:rPr>
                    <w:t>ПАРТИЈА 2</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F96290" w:rsidRPr="008B2E88" w:rsidRDefault="00F96290">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2818"/>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7747"/>
    <w:rsid w:val="00130CA5"/>
    <w:rsid w:val="00131B55"/>
    <w:rsid w:val="00132F71"/>
    <w:rsid w:val="00137516"/>
    <w:rsid w:val="00141C6D"/>
    <w:rsid w:val="00142CBD"/>
    <w:rsid w:val="00154527"/>
    <w:rsid w:val="00155885"/>
    <w:rsid w:val="001620A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200BE4"/>
    <w:rsid w:val="00202175"/>
    <w:rsid w:val="002052A0"/>
    <w:rsid w:val="002071CE"/>
    <w:rsid w:val="0022237B"/>
    <w:rsid w:val="00223CD0"/>
    <w:rsid w:val="00227216"/>
    <w:rsid w:val="0023130B"/>
    <w:rsid w:val="00232D50"/>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7551"/>
    <w:rsid w:val="002C1C5C"/>
    <w:rsid w:val="002D36CE"/>
    <w:rsid w:val="002D7DE1"/>
    <w:rsid w:val="0030455D"/>
    <w:rsid w:val="00306470"/>
    <w:rsid w:val="0030660B"/>
    <w:rsid w:val="0030661E"/>
    <w:rsid w:val="003076BF"/>
    <w:rsid w:val="00315FF1"/>
    <w:rsid w:val="00326D95"/>
    <w:rsid w:val="00327BEB"/>
    <w:rsid w:val="0033349E"/>
    <w:rsid w:val="003334A4"/>
    <w:rsid w:val="00336240"/>
    <w:rsid w:val="00340D49"/>
    <w:rsid w:val="003439FC"/>
    <w:rsid w:val="0034494A"/>
    <w:rsid w:val="00345338"/>
    <w:rsid w:val="0034561F"/>
    <w:rsid w:val="00345CAD"/>
    <w:rsid w:val="0035058A"/>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4402"/>
    <w:rsid w:val="004A7AA1"/>
    <w:rsid w:val="004B0BA1"/>
    <w:rsid w:val="004B2246"/>
    <w:rsid w:val="004B3E4A"/>
    <w:rsid w:val="004B7EC7"/>
    <w:rsid w:val="004C0043"/>
    <w:rsid w:val="004C0359"/>
    <w:rsid w:val="004C17E0"/>
    <w:rsid w:val="004C5668"/>
    <w:rsid w:val="004C58F1"/>
    <w:rsid w:val="004D29E0"/>
    <w:rsid w:val="004E0306"/>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36677"/>
    <w:rsid w:val="005400B1"/>
    <w:rsid w:val="00540A46"/>
    <w:rsid w:val="005465CE"/>
    <w:rsid w:val="00551B07"/>
    <w:rsid w:val="005543F0"/>
    <w:rsid w:val="00574037"/>
    <w:rsid w:val="005768E0"/>
    <w:rsid w:val="00586417"/>
    <w:rsid w:val="005918D4"/>
    <w:rsid w:val="005A27C4"/>
    <w:rsid w:val="005A54C1"/>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96A"/>
    <w:rsid w:val="00870B97"/>
    <w:rsid w:val="008718E4"/>
    <w:rsid w:val="008765F6"/>
    <w:rsid w:val="0088487D"/>
    <w:rsid w:val="008B01A8"/>
    <w:rsid w:val="008B2E88"/>
    <w:rsid w:val="008B57D8"/>
    <w:rsid w:val="008C3259"/>
    <w:rsid w:val="008C65B6"/>
    <w:rsid w:val="008D51BC"/>
    <w:rsid w:val="008D6FE3"/>
    <w:rsid w:val="008E2D1F"/>
    <w:rsid w:val="008F05ED"/>
    <w:rsid w:val="008F7538"/>
    <w:rsid w:val="00902404"/>
    <w:rsid w:val="00915E89"/>
    <w:rsid w:val="00916837"/>
    <w:rsid w:val="0091747C"/>
    <w:rsid w:val="009216CA"/>
    <w:rsid w:val="00921F68"/>
    <w:rsid w:val="00925700"/>
    <w:rsid w:val="00947F2D"/>
    <w:rsid w:val="0095003D"/>
    <w:rsid w:val="00960151"/>
    <w:rsid w:val="00966C72"/>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58CD"/>
    <w:rsid w:val="00D22ECD"/>
    <w:rsid w:val="00D230E8"/>
    <w:rsid w:val="00D236EF"/>
    <w:rsid w:val="00D2422C"/>
    <w:rsid w:val="00D25F8A"/>
    <w:rsid w:val="00D26DEE"/>
    <w:rsid w:val="00D30942"/>
    <w:rsid w:val="00D349F0"/>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47C0"/>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3699F"/>
    <w:rsid w:val="00F44DE5"/>
    <w:rsid w:val="00F575D2"/>
    <w:rsid w:val="00F7010B"/>
    <w:rsid w:val="00F70E64"/>
    <w:rsid w:val="00F71FB0"/>
    <w:rsid w:val="00F72183"/>
    <w:rsid w:val="00F72283"/>
    <w:rsid w:val="00F74A49"/>
    <w:rsid w:val="00F75C65"/>
    <w:rsid w:val="00F90B80"/>
    <w:rsid w:val="00F94BD6"/>
    <w:rsid w:val="00F94F79"/>
    <w:rsid w:val="00F96290"/>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pitanja"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3501</Words>
  <Characters>19959</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Резервни делови– </vt:lpstr>
      <vt:lpstr>      Konkursna dokumentacija za nabavku HTZ opreme NABAVKA  02/2010</vt:lpstr>
    </vt:vector>
  </TitlesOfParts>
  <Company>JKP "VODOVOD-VALJEVO"</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Резервни делови– </dc:title>
  <dc:subject/>
  <dc:creator>Vesna Milutinovic</dc:creator>
  <cp:keywords/>
  <dc:description/>
  <cp:lastModifiedBy>XP</cp:lastModifiedBy>
  <cp:revision>2</cp:revision>
  <cp:lastPrinted>2015-11-03T09:12:00Z</cp:lastPrinted>
  <dcterms:created xsi:type="dcterms:W3CDTF">2015-11-25T07:15:00Z</dcterms:created>
  <dcterms:modified xsi:type="dcterms:W3CDTF">2015-11-25T07:15:00Z</dcterms:modified>
</cp:coreProperties>
</file>