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bookmarkStart w:id="0" w:name="_GoBack"/>
      <w:bookmarkEnd w:id="0"/>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eastAsia="en-GB"/>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44168">
        <w:rPr>
          <w:rFonts w:ascii="Arial" w:hAnsi="Arial" w:cs="Arial"/>
          <w:noProof/>
          <w:sz w:val="28"/>
          <w:szCs w:val="28"/>
          <w:vertAlign w:val="baseline"/>
          <w:lang w:val="sr-Cyrl-CS" w:eastAsia="zh-CN"/>
        </w:rPr>
        <w:t>3</w:t>
      </w:r>
      <w:r w:rsidR="00CC656F" w:rsidRPr="006B132C">
        <w:rPr>
          <w:rFonts w:ascii="Arial" w:hAnsi="Arial" w:cs="Arial"/>
          <w:noProof/>
          <w:sz w:val="28"/>
          <w:szCs w:val="28"/>
          <w:vertAlign w:val="baseline"/>
          <w:lang w:val="sr-Cyrl-CS" w:eastAsia="zh-CN"/>
        </w:rPr>
        <w:t>/201</w:t>
      </w:r>
      <w:r w:rsidR="00944168">
        <w:rPr>
          <w:rFonts w:ascii="Arial" w:hAnsi="Arial" w:cs="Arial"/>
          <w:noProof/>
          <w:sz w:val="28"/>
          <w:szCs w:val="28"/>
          <w:vertAlign w:val="baseline"/>
          <w:lang w:val="sr-Cyrl-CS" w:eastAsia="zh-CN"/>
        </w:rPr>
        <w:t>5</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44168">
        <w:rPr>
          <w:rFonts w:ascii="Arial" w:hAnsi="Arial" w:cs="Arial"/>
          <w:b/>
          <w:noProof/>
          <w:sz w:val="22"/>
          <w:szCs w:val="22"/>
          <w:vertAlign w:val="baseline"/>
          <w:lang w:val="sr-Cyrl-CS" w:eastAsia="zh-CN"/>
        </w:rPr>
        <w:t>мај</w:t>
      </w:r>
      <w:r w:rsidR="009858EA" w:rsidRPr="006B132C">
        <w:rPr>
          <w:rFonts w:ascii="Arial" w:hAnsi="Arial" w:cs="Arial"/>
          <w:b/>
          <w:noProof/>
          <w:sz w:val="22"/>
          <w:szCs w:val="22"/>
          <w:vertAlign w:val="baseline"/>
          <w:lang w:val="ru-RU" w:eastAsia="zh-CN"/>
        </w:rPr>
        <w:t xml:space="preserve"> </w:t>
      </w:r>
      <w:r w:rsidR="00944168">
        <w:rPr>
          <w:rFonts w:ascii="Arial" w:hAnsi="Arial" w:cs="Arial"/>
          <w:b/>
          <w:noProof/>
          <w:sz w:val="22"/>
          <w:szCs w:val="22"/>
          <w:vertAlign w:val="baseline"/>
          <w:lang w:val="ru-RU" w:eastAsia="zh-CN"/>
        </w:rPr>
        <w:t>2015</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вредности («Сл гласник РС» бр. 29/13)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,,Сл.гласник РС“, број 124/12)</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337A89">
        <w:rPr>
          <w:rFonts w:ascii="Arial" w:hAnsi="Arial" w:cs="Arial"/>
          <w:noProof/>
          <w:sz w:val="22"/>
          <w:szCs w:val="22"/>
          <w:vertAlign w:val="baseline"/>
          <w:lang w:val="ru-RU"/>
        </w:rPr>
        <w:t>01-</w:t>
      </w:r>
      <w:r w:rsidR="00337A89">
        <w:rPr>
          <w:rFonts w:ascii="Arial" w:hAnsi="Arial" w:cs="Arial"/>
          <w:noProof/>
          <w:sz w:val="22"/>
          <w:szCs w:val="22"/>
          <w:vertAlign w:val="baseline"/>
          <w:lang w:val="en-US"/>
        </w:rPr>
        <w:t>3874/1-15</w:t>
      </w:r>
      <w:r w:rsidR="00BB50C0" w:rsidRPr="006B132C">
        <w:rPr>
          <w:rFonts w:ascii="Arial" w:hAnsi="Arial" w:cs="Arial"/>
          <w:noProof/>
          <w:sz w:val="22"/>
          <w:szCs w:val="22"/>
          <w:vertAlign w:val="baseline"/>
          <w:lang w:val="ru-RU"/>
        </w:rPr>
        <w:t xml:space="preserve"> од </w:t>
      </w:r>
      <w:r w:rsidR="00944168">
        <w:rPr>
          <w:rFonts w:ascii="Arial" w:hAnsi="Arial" w:cs="Arial"/>
          <w:noProof/>
          <w:sz w:val="22"/>
          <w:szCs w:val="22"/>
          <w:vertAlign w:val="baseline"/>
          <w:lang w:val="ru-RU"/>
        </w:rPr>
        <w:t>15.05.2015</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03/2015</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6.2015</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w:t>
      </w:r>
      <w:r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3</w:t>
      </w:r>
      <w:r w:rsidR="00CC656F"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337A89">
        <w:rPr>
          <w:rFonts w:ascii="Arial" w:eastAsiaTheme="minorHAnsi" w:hAnsi="Arial" w:cs="Arial"/>
          <w:b/>
          <w:color w:val="000000"/>
          <w:sz w:val="22"/>
          <w:szCs w:val="22"/>
          <w:vertAlign w:val="baseline"/>
          <w:lang w:val="ru-RU"/>
        </w:rPr>
        <w:t>1</w:t>
      </w:r>
      <w:r w:rsidR="00337A89">
        <w:rPr>
          <w:rFonts w:ascii="Arial" w:eastAsiaTheme="minorHAnsi" w:hAnsi="Arial" w:cs="Arial"/>
          <w:b/>
          <w:color w:val="000000"/>
          <w:sz w:val="22"/>
          <w:szCs w:val="22"/>
          <w:vertAlign w:val="baseline"/>
          <w:lang w:val="en-US"/>
        </w:rPr>
        <w:t>6</w:t>
      </w:r>
      <w:r w:rsidR="006A63BD" w:rsidRPr="006B132C">
        <w:rPr>
          <w:rFonts w:ascii="Arial" w:eastAsiaTheme="minorHAnsi" w:hAnsi="Arial" w:cs="Arial"/>
          <w:b/>
          <w:color w:val="000000"/>
          <w:sz w:val="22"/>
          <w:szCs w:val="22"/>
          <w:vertAlign w:val="baseline"/>
          <w:lang w:val="ru-RU"/>
        </w:rPr>
        <w:t>.0</w:t>
      </w:r>
      <w:r w:rsidR="00944168">
        <w:rPr>
          <w:rFonts w:ascii="Arial" w:eastAsiaTheme="minorHAnsi" w:hAnsi="Arial" w:cs="Arial"/>
          <w:b/>
          <w:color w:val="000000"/>
          <w:sz w:val="22"/>
          <w:szCs w:val="22"/>
          <w:vertAlign w:val="baseline"/>
          <w:lang w:val="ru-RU"/>
        </w:rPr>
        <w:t>6.2015</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Pr="006B132C"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944168">
        <w:rPr>
          <w:rFonts w:ascii="Arial" w:hAnsi="Arial" w:cs="Arial"/>
          <w:b/>
          <w:noProof/>
          <w:sz w:val="22"/>
          <w:szCs w:val="22"/>
          <w:vertAlign w:val="baseline"/>
          <w:lang w:val="en-US"/>
        </w:rPr>
        <w:t>3</w:t>
      </w:r>
      <w:r w:rsidR="00944168">
        <w:rPr>
          <w:rFonts w:ascii="Arial" w:hAnsi="Arial" w:cs="Arial"/>
          <w:b/>
          <w:noProof/>
          <w:sz w:val="22"/>
          <w:szCs w:val="22"/>
          <w:vertAlign w:val="baseline"/>
          <w:lang w:val="ru-RU"/>
        </w:rPr>
        <w:t>/201</w:t>
      </w:r>
      <w:r w:rsidR="00944168">
        <w:rPr>
          <w:rFonts w:ascii="Arial" w:hAnsi="Arial" w:cs="Arial"/>
          <w:b/>
          <w:noProof/>
          <w:sz w:val="22"/>
          <w:szCs w:val="22"/>
          <w:vertAlign w:val="baseline"/>
          <w:lang w:val="en-US"/>
        </w:rPr>
        <w:t>5</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lastRenderedPageBreak/>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7637B0" w:rsidRPr="007637B0" w:rsidRDefault="007637B0" w:rsidP="007637B0">
      <w:pPr>
        <w:jc w:val="both"/>
        <w:rPr>
          <w:sz w:val="28"/>
          <w:szCs w:val="28"/>
          <w:lang w:val="sr-Latn-CS"/>
        </w:rPr>
      </w:pPr>
      <w:r w:rsidRPr="007637B0">
        <w:rPr>
          <w:sz w:val="28"/>
          <w:szCs w:val="28"/>
          <w:lang w:val="sr-Latn-CS"/>
        </w:rPr>
        <w:t xml:space="preserve">Lice koje ima interes da mu se dodeli ugovor o javnoj nabavci može podneti Zahtev za zaštitu prava Naručiocu  najkasnije u roku od 8 (osam) dana od dana prijema odluke o izboru najpovoljnije ponude u smislu člana 113. Zakona o javnim nabavkama, uz uplatu takse u iznosu od </w:t>
      </w:r>
      <w:r w:rsidRPr="007637B0">
        <w:rPr>
          <w:sz w:val="28"/>
          <w:szCs w:val="28"/>
          <w:lang w:val="sr-Cyrl-CS"/>
        </w:rPr>
        <w:t>8</w:t>
      </w:r>
      <w:r w:rsidRPr="007637B0">
        <w:rPr>
          <w:sz w:val="28"/>
          <w:szCs w:val="28"/>
          <w:lang w:val="sr-Latn-CS"/>
        </w:rPr>
        <w:t xml:space="preserve">0.000,00 dinara na tekući račun primaoca ,,Budžet RS-republička administrativna taksa 840-30678845-06 šifra plaćanja 153 ili 253.Poziv na broj su podacio broju ili oznaci javne nabavke povodom koje se </w:t>
      </w:r>
      <w:r w:rsidRPr="007637B0">
        <w:rPr>
          <w:sz w:val="28"/>
          <w:szCs w:val="28"/>
          <w:lang w:val="sr-Latn-CS"/>
        </w:rPr>
        <w:lastRenderedPageBreak/>
        <w:t>podnosi zahtev za zaštitu prava.Svrha ZZP. Kopiju zahteva za zaštitu prava podnosilac istovremeno dostavlja Republičkoj komisiji.</w:t>
      </w: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Pr="006B132C">
        <w:rPr>
          <w:rFonts w:ascii="Arial" w:hAnsi="Arial" w:cs="Arial"/>
          <w:bCs/>
          <w:noProof/>
          <w:sz w:val="22"/>
          <w:szCs w:val="22"/>
          <w:vertAlign w:val="baseline"/>
          <w:lang w:val="ru-RU" w:eastAsia="sr-Latn-CS"/>
        </w:rPr>
        <w:t>124/12</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BD6F84" w:rsidRDefault="00BD6F84"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903B55" w:rsidRDefault="00903B55" w:rsidP="00B21E11">
      <w:pPr>
        <w:autoSpaceDE w:val="0"/>
        <w:autoSpaceDN w:val="0"/>
        <w:adjustRightInd w:val="0"/>
        <w:ind w:firstLine="567"/>
        <w:jc w:val="both"/>
        <w:rPr>
          <w:rFonts w:ascii="Arial" w:hAnsi="Arial" w:cs="Arial"/>
          <w:b/>
          <w:bCs/>
          <w:noProof/>
          <w:sz w:val="22"/>
          <w:szCs w:val="22"/>
          <w:vertAlign w:val="baseline"/>
          <w:lang w:val="sr-Cyrl-CS" w:eastAsia="sr-Latn-CS"/>
        </w:rPr>
      </w:pPr>
      <w:r w:rsidRPr="00903B55">
        <w:rPr>
          <w:rFonts w:ascii="Arial" w:hAnsi="Arial" w:cs="Arial"/>
          <w:b/>
          <w:bCs/>
          <w:noProof/>
          <w:sz w:val="22"/>
          <w:szCs w:val="22"/>
          <w:vertAlign w:val="baseline"/>
          <w:lang w:val="sr-Cyrl-CS" w:eastAsia="sr-Latn-CS"/>
        </w:rPr>
        <w:t>Услове од тачке 1) до тачке 4), доказују понуђачи без обзира за коју партију конкуришу</w:t>
      </w:r>
      <w:r>
        <w:rPr>
          <w:rFonts w:ascii="Arial" w:hAnsi="Arial" w:cs="Arial"/>
          <w:b/>
          <w:bCs/>
          <w:noProof/>
          <w:sz w:val="22"/>
          <w:szCs w:val="22"/>
          <w:vertAlign w:val="baseline"/>
          <w:lang w:val="sr-Cyrl-CS" w:eastAsia="sr-Latn-CS"/>
        </w:rPr>
        <w:t>, остале услове доказују понуђачи само уколико конкуришу за одређену партију која је назначена изнад услова.</w:t>
      </w:r>
    </w:p>
    <w:p w:rsidR="00903B55" w:rsidRDefault="00903B55"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1)</w:t>
      </w:r>
      <w:r w:rsidR="00BD6F84"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ru-RU"/>
        </w:rPr>
      </w:pPr>
      <w:r w:rsidRPr="006B132C">
        <w:rPr>
          <w:rFonts w:ascii="Arial" w:hAnsi="Arial" w:cs="Arial"/>
          <w:b/>
          <w:bCs/>
          <w:noProof/>
          <w:sz w:val="22"/>
          <w:szCs w:val="22"/>
          <w:vertAlign w:val="baseline"/>
          <w:lang w:val="ru-RU" w:eastAsia="sr-Latn-CS"/>
        </w:rPr>
        <w:t xml:space="preserve">2) </w:t>
      </w:r>
      <w:r w:rsidRPr="006B132C">
        <w:rPr>
          <w:rFonts w:ascii="Arial" w:hAnsi="Arial" w:cs="Arial"/>
          <w:bCs/>
          <w:noProof/>
          <w:sz w:val="22"/>
          <w:szCs w:val="22"/>
          <w:vertAlign w:val="baseline"/>
          <w:lang w:val="ru-RU" w:eastAsia="sr-Latn-CS"/>
        </w:rPr>
        <w:t xml:space="preserve">Право на учешће у поступку има понуђач ако </w:t>
      </w:r>
      <w:r w:rsidRPr="006B132C">
        <w:rPr>
          <w:rFonts w:ascii="Arial" w:eastAsia="Calibri" w:hAnsi="Arial" w:cs="Arial"/>
          <w:sz w:val="22"/>
          <w:szCs w:val="22"/>
          <w:vertAlign w:val="baseline"/>
          <w:lang w:val="sr-Cyrl-CS"/>
        </w:rPr>
        <w:t>он</w:t>
      </w:r>
      <w:r w:rsidRPr="006B132C">
        <w:rPr>
          <w:rFonts w:ascii="Arial" w:eastAsia="Calibri" w:hAnsi="Arial" w:cs="Arial"/>
          <w:sz w:val="22"/>
          <w:szCs w:val="22"/>
          <w:vertAlign w:val="baseline"/>
          <w:lang w:val="hr-HR"/>
        </w:rPr>
        <w:t xml:space="preserve"> и његов законски заступник ни</w:t>
      </w:r>
      <w:r w:rsidRPr="006B132C">
        <w:rPr>
          <w:rFonts w:ascii="Arial" w:eastAsia="Calibri" w:hAnsi="Arial" w:cs="Arial"/>
          <w:sz w:val="22"/>
          <w:szCs w:val="22"/>
          <w:vertAlign w:val="baseline"/>
          <w:lang w:val="sr-Cyrl-CS"/>
        </w:rPr>
        <w:t>су</w:t>
      </w:r>
      <w:r w:rsidRPr="006B132C">
        <w:rPr>
          <w:rFonts w:ascii="Arial" w:eastAsia="Calibri" w:hAnsi="Arial" w:cs="Arial"/>
          <w:sz w:val="22"/>
          <w:szCs w:val="22"/>
          <w:vertAlign w:val="baseline"/>
          <w:lang w:val="hr-HR"/>
        </w:rPr>
        <w:t xml:space="preserve"> осуђиван</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 xml:space="preserve"> за неко од крив</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132C">
        <w:rPr>
          <w:rFonts w:ascii="Arial" w:eastAsia="Calibri" w:hAnsi="Arial" w:cs="Arial"/>
          <w:sz w:val="22"/>
          <w:szCs w:val="22"/>
          <w:vertAlign w:val="baseline"/>
          <w:lang w:val="ru-RU"/>
        </w:rPr>
        <w:t>;</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sr-Cyrl-CS"/>
        </w:rPr>
      </w:pPr>
      <w:r w:rsidRPr="006B132C">
        <w:rPr>
          <w:rFonts w:ascii="Arial" w:hAnsi="Arial" w:cs="Arial"/>
          <w:b/>
          <w:bCs/>
          <w:noProof/>
          <w:sz w:val="22"/>
          <w:szCs w:val="22"/>
          <w:vertAlign w:val="baseline"/>
          <w:lang w:val="ru-RU" w:eastAsia="sr-Latn-CS"/>
        </w:rPr>
        <w:t xml:space="preserve">3) </w:t>
      </w:r>
      <w:r w:rsidRPr="006B132C">
        <w:rPr>
          <w:rFonts w:ascii="Arial" w:hAnsi="Arial" w:cs="Arial"/>
          <w:bCs/>
          <w:noProof/>
          <w:sz w:val="22"/>
          <w:szCs w:val="22"/>
          <w:vertAlign w:val="baseline"/>
          <w:lang w:val="ru-RU" w:eastAsia="sr-Latn-CS"/>
        </w:rPr>
        <w:t xml:space="preserve">Право на учешће у поступку има понуђач ако му </w:t>
      </w:r>
      <w:r w:rsidRPr="006B132C">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6B132C">
        <w:rPr>
          <w:rFonts w:ascii="Arial" w:eastAsia="Calibri" w:hAnsi="Arial" w:cs="Arial"/>
          <w:sz w:val="22"/>
          <w:szCs w:val="22"/>
          <w:vertAlign w:val="baseline"/>
          <w:lang w:val="sr-Cyrl-CS"/>
        </w:rPr>
        <w:t>понуда.</w:t>
      </w:r>
    </w:p>
    <w:p w:rsidR="00BD6F84" w:rsidRPr="006B132C" w:rsidRDefault="00BD6F84" w:rsidP="00BD6F84">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4) </w:t>
      </w:r>
      <w:r w:rsidRPr="006B132C">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BD6F84" w:rsidRPr="006B132C" w:rsidRDefault="00BD6F84" w:rsidP="006265A7">
      <w:pPr>
        <w:ind w:left="567" w:right="4"/>
        <w:rPr>
          <w:rFonts w:ascii="Arial" w:hAnsi="Arial" w:cs="Arial"/>
          <w:b/>
          <w:bCs/>
          <w:sz w:val="22"/>
          <w:szCs w:val="22"/>
          <w:vertAlign w:val="baseline"/>
          <w:lang w:val="sr-Cyrl-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ru-RU"/>
        </w:rPr>
        <w:t>Правно лице:</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i/>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6B132C">
        <w:rPr>
          <w:rFonts w:ascii="Arial" w:hAnsi="Arial" w:cs="Arial"/>
          <w:bCs/>
          <w:i/>
          <w:sz w:val="22"/>
          <w:szCs w:val="22"/>
          <w:vertAlign w:val="baseline"/>
          <w:lang w:val="ru-RU"/>
        </w:rPr>
        <w:t xml:space="preserve"> </w:t>
      </w:r>
    </w:p>
    <w:p w:rsidR="00336D65" w:rsidRPr="00336D65" w:rsidRDefault="00336D65" w:rsidP="00BD6F84">
      <w:pPr>
        <w:ind w:right="4"/>
        <w:jc w:val="both"/>
        <w:rPr>
          <w:rFonts w:ascii="Arial" w:hAnsi="Arial" w:cs="Arial"/>
          <w:bCs/>
          <w:i/>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pStyle w:val="ListParagraph"/>
        <w:autoSpaceDE w:val="0"/>
        <w:autoSpaceDN w:val="0"/>
        <w:adjustRightInd w:val="0"/>
        <w:ind w:left="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36D65" w:rsidRPr="00336D65" w:rsidRDefault="00336D65" w:rsidP="00BD6F84">
      <w:pPr>
        <w:pStyle w:val="ListParagraph"/>
        <w:autoSpaceDE w:val="0"/>
        <w:autoSpaceDN w:val="0"/>
        <w:adjustRightInd w:val="0"/>
        <w:ind w:left="0"/>
        <w:jc w:val="both"/>
        <w:rPr>
          <w:rFonts w:ascii="Arial" w:hAnsi="Arial" w:cs="Arial"/>
          <w:bCs/>
          <w:noProof/>
          <w:sz w:val="22"/>
          <w:szCs w:val="22"/>
          <w:vertAlign w:val="baseline"/>
          <w:lang w:val="en-US"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hAnsi="Arial" w:cs="Arial"/>
          <w:b/>
          <w:bCs/>
          <w:noProof/>
          <w:sz w:val="22"/>
          <w:szCs w:val="22"/>
          <w:vertAlign w:val="baseline"/>
          <w:lang w:val="ru-RU" w:eastAsia="sr-Latn-CS"/>
        </w:rPr>
        <w:t xml:space="preserve">3) </w:t>
      </w:r>
      <w:r w:rsidRPr="006B132C">
        <w:rPr>
          <w:rFonts w:ascii="Arial" w:eastAsia="Calibri" w:hAnsi="Arial" w:cs="Arial"/>
          <w:bCs/>
          <w:sz w:val="22"/>
          <w:szCs w:val="22"/>
          <w:vertAlign w:val="baseline"/>
          <w:lang w:val="ru-RU"/>
        </w:rPr>
        <w:t xml:space="preserve">Потврде Привредног и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w:t>
      </w:r>
      <w:r w:rsidR="00BB7B1A" w:rsidRPr="006B132C">
        <w:rPr>
          <w:rFonts w:ascii="Arial" w:eastAsia="Calibri" w:hAnsi="Arial" w:cs="Arial"/>
          <w:bCs/>
          <w:sz w:val="22"/>
          <w:szCs w:val="22"/>
          <w:vertAlign w:val="baseline"/>
          <w:lang w:val="ru-RU"/>
        </w:rPr>
        <w:t>а</w:t>
      </w:r>
      <w:r w:rsidRPr="006B132C">
        <w:rPr>
          <w:rFonts w:ascii="Arial" w:eastAsia="Calibri" w:hAnsi="Arial" w:cs="Arial"/>
          <w:bCs/>
          <w:sz w:val="22"/>
          <w:szCs w:val="22"/>
          <w:vertAlign w:val="baseline"/>
          <w:lang w:val="ru-RU"/>
        </w:rPr>
        <w:t xml:space="preserve">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336D65" w:rsidRDefault="00336D65" w:rsidP="005A4CEA">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lastRenderedPageBreak/>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7-2) Услов : Право на учешће у поступку има понуђач ако има важећу дозволу надлежног органа за обављање делатности која јуе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енергетске делатности  трговине моторним и другим горивима на станицама за снабдевање возила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B60E64" w:rsidRPr="006B132C" w:rsidRDefault="00B60E64"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cente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bCs/>
          <w:sz w:val="22"/>
          <w:szCs w:val="22"/>
          <w:vertAlign w:val="baseline"/>
          <w:lang w:val="sr-Cyrl-CS"/>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Pr="006B132C" w:rsidRDefault="00041D09" w:rsidP="00B917F1">
      <w:pPr>
        <w:autoSpaceDE w:val="0"/>
        <w:autoSpaceDN w:val="0"/>
        <w:adjustRightInd w:val="0"/>
        <w:jc w:val="both"/>
        <w:rPr>
          <w:rFonts w:ascii="Arial" w:hAnsi="Arial" w:cs="Arial"/>
          <w:iCs/>
          <w:sz w:val="22"/>
          <w:szCs w:val="22"/>
          <w:vertAlign w:val="baseline"/>
          <w:lang w:val="ru-RU"/>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 xml:space="preserve">5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5</w:t>
            </w:r>
            <w:r w:rsidR="00FE449F"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DD763F" w:rsidRDefault="005C496A" w:rsidP="00DD763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717209" w:rsidRPr="00717209" w:rsidRDefault="00717209" w:rsidP="005C496A">
      <w:pPr>
        <w:ind w:left="10" w:right="-15"/>
        <w:jc w:val="center"/>
        <w:rPr>
          <w:rFonts w:ascii="Arial" w:eastAsia="Calibri" w:hAnsi="Arial" w:cs="Arial"/>
          <w:sz w:val="22"/>
          <w:szCs w:val="22"/>
          <w:vertAlign w:val="baseline"/>
          <w:lang w:val="en-US"/>
        </w:rPr>
      </w:pPr>
    </w:p>
    <w:p w:rsidR="00DD763F" w:rsidRPr="006B522A" w:rsidRDefault="00DD763F" w:rsidP="00DD763F">
      <w:pPr>
        <w:ind w:left="10" w:right="-15"/>
        <w:jc w:val="center"/>
        <w:rPr>
          <w:rFonts w:ascii="Arial" w:eastAsia="Calibri" w:hAnsi="Arial" w:cs="Arial"/>
          <w:b/>
          <w:sz w:val="22"/>
          <w:szCs w:val="22"/>
          <w:vertAlign w:val="baseline"/>
          <w:lang w:val="en-US"/>
        </w:rPr>
      </w:pPr>
      <w:r w:rsidRPr="006B522A">
        <w:rPr>
          <w:rFonts w:ascii="Arial" w:eastAsia="Calibri" w:hAnsi="Arial" w:cs="Arial"/>
          <w:b/>
          <w:sz w:val="22"/>
          <w:szCs w:val="22"/>
          <w:vertAlign w:val="baseline"/>
          <w:lang w:val="en-US"/>
        </w:rPr>
        <w:t xml:space="preserve">ПАРТИЈА БР. </w:t>
      </w:r>
      <w:r w:rsidRPr="006B522A">
        <w:rPr>
          <w:rFonts w:ascii="Arial" w:eastAsia="Calibri" w:hAnsi="Arial" w:cs="Arial"/>
          <w:b/>
          <w:sz w:val="22"/>
          <w:szCs w:val="22"/>
          <w:vertAlign w:val="baseline"/>
          <w:lang w:val="sr-Cyrl-CS"/>
        </w:rPr>
        <w:t>2</w:t>
      </w:r>
      <w:r w:rsidRPr="006B522A">
        <w:rPr>
          <w:rFonts w:ascii="Arial" w:eastAsia="Calibri" w:hAnsi="Arial" w:cs="Arial"/>
          <w:b/>
          <w:sz w:val="22"/>
          <w:szCs w:val="22"/>
          <w:vertAlign w:val="baseline"/>
          <w:lang w:val="en-US"/>
        </w:rPr>
        <w:t xml:space="preserve"> – </w:t>
      </w:r>
      <w:r w:rsidRPr="006B522A">
        <w:rPr>
          <w:rFonts w:ascii="Arial" w:eastAsia="Calibri" w:hAnsi="Arial" w:cs="Arial"/>
          <w:b/>
          <w:sz w:val="22"/>
          <w:szCs w:val="22"/>
          <w:vertAlign w:val="baseline"/>
        </w:rPr>
        <w:t>УЉА И МАЗИВА</w:t>
      </w:r>
    </w:p>
    <w:p w:rsidR="00DD763F" w:rsidRPr="00717209" w:rsidRDefault="00DD763F" w:rsidP="00DD763F">
      <w:pPr>
        <w:ind w:left="10" w:right="-15"/>
        <w:jc w:val="center"/>
        <w:rPr>
          <w:rFonts w:ascii="Arial" w:eastAsia="Calibri" w:hAnsi="Arial" w:cs="Arial"/>
          <w:sz w:val="22"/>
          <w:szCs w:val="22"/>
          <w:vertAlign w:val="baseline"/>
          <w:lang w:val="en-US"/>
        </w:rPr>
      </w:pPr>
    </w:p>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tbl>
      <w:tblPr>
        <w:tblW w:w="10065" w:type="dxa"/>
        <w:tblInd w:w="-318" w:type="dxa"/>
        <w:tblLayout w:type="fixed"/>
        <w:tblCellMar>
          <w:right w:w="115" w:type="dxa"/>
        </w:tblCellMar>
        <w:tblLook w:val="04A0" w:firstRow="1" w:lastRow="0" w:firstColumn="1" w:lastColumn="0" w:noHBand="0" w:noVBand="1"/>
      </w:tblPr>
      <w:tblGrid>
        <w:gridCol w:w="710"/>
        <w:gridCol w:w="2551"/>
        <w:gridCol w:w="1985"/>
        <w:gridCol w:w="1134"/>
        <w:gridCol w:w="1984"/>
        <w:gridCol w:w="1701"/>
      </w:tblGrid>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ind w:right="110"/>
              <w:jc w:val="center"/>
              <w:rPr>
                <w:rFonts w:ascii="Arial" w:eastAsia="Calibri" w:hAnsi="Arial" w:cs="Arial"/>
                <w:vertAlign w:val="baseline"/>
              </w:rPr>
            </w:pPr>
            <w:r>
              <w:rPr>
                <w:rFonts w:ascii="Arial" w:eastAsia="Calibri" w:hAnsi="Arial" w:cs="Arial"/>
                <w:b/>
                <w:sz w:val="22"/>
                <w:szCs w:val="22"/>
                <w:vertAlign w:val="baseline"/>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5C496A" w:rsidRDefault="00DD763F" w:rsidP="00DD763F">
            <w:pPr>
              <w:jc w:val="center"/>
              <w:rPr>
                <w:rFonts w:ascii="Arial" w:eastAsia="Calibri" w:hAnsi="Arial" w:cs="Arial"/>
                <w:vertAlign w:val="baseline"/>
              </w:rPr>
            </w:pPr>
            <w:r>
              <w:rPr>
                <w:rFonts w:ascii="Arial" w:eastAsia="Calibri" w:hAnsi="Arial" w:cs="Arial"/>
                <w:b/>
                <w:sz w:val="22"/>
                <w:szCs w:val="22"/>
                <w:vertAlign w:val="baseline"/>
              </w:rPr>
              <w:t>Спецификација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Кол</w:t>
            </w:r>
            <w:r>
              <w:rPr>
                <w:rFonts w:ascii="Arial" w:eastAsia="Calibri" w:hAnsi="Arial" w:cs="Arial"/>
                <w:b/>
                <w:sz w:val="22"/>
                <w:szCs w:val="22"/>
                <w:vertAlign w:val="baselin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D763F" w:rsidRPr="00FE449F" w:rsidRDefault="00DD763F" w:rsidP="00DD763F">
            <w:pPr>
              <w:jc w:val="center"/>
              <w:rPr>
                <w:rFonts w:ascii="Arial" w:eastAsia="Calibri" w:hAnsi="Arial" w:cs="Arial"/>
                <w:vertAlign w:val="baseline"/>
                <w:lang w:val="en-US"/>
              </w:rPr>
            </w:pPr>
            <w:r w:rsidRPr="00FE449F">
              <w:rPr>
                <w:rFonts w:ascii="Arial" w:eastAsia="Calibri" w:hAnsi="Arial" w:cs="Arial"/>
                <w:b/>
                <w:sz w:val="22"/>
                <w:szCs w:val="22"/>
                <w:vertAlign w:val="baseline"/>
                <w:lang w:val="en-US"/>
              </w:rPr>
              <w:t>Укупан износ без ПДВ-а</w:t>
            </w: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pStyle w:val="ListParagraph"/>
              <w:numPr>
                <w:ilvl w:val="0"/>
                <w:numId w:val="2"/>
              </w:numPr>
              <w:contextualSpacing/>
              <w:rPr>
                <w:rFonts w:ascii="Arial" w:eastAsia="Calibri" w:hAnsi="Arial" w:cs="Arial"/>
                <w:sz w:val="20"/>
                <w:szCs w:val="20"/>
                <w:vertAlign w:val="baseline"/>
                <w:lang w:val="en-US"/>
              </w:rPr>
            </w:pPr>
          </w:p>
          <w:p w:rsidR="00DD763F" w:rsidRPr="006B522A" w:rsidRDefault="00DD763F" w:rsidP="00DD763F">
            <w:pPr>
              <w:rPr>
                <w:rFonts w:eastAsia="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API CI-4/CF/SL;</w:t>
            </w:r>
          </w:p>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MB 228.3</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E3-96;</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ACEA E7-04;</w:t>
            </w:r>
          </w:p>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sidRPr="007C139F">
              <w:rPr>
                <w:rFonts w:ascii="Arial" w:hAnsi="Arial" w:cs="Arial"/>
                <w:sz w:val="22"/>
                <w:szCs w:val="22"/>
                <w:vertAlign w:val="baseline"/>
              </w:rPr>
              <w:t>360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18</w:t>
            </w:r>
            <w:r w:rsidRPr="007C139F">
              <w:rPr>
                <w:rFonts w:ascii="Arial" w:hAnsi="Arial" w:cs="Arial"/>
                <w:sz w:val="22"/>
                <w:szCs w:val="22"/>
                <w:vertAlign w:val="baseline"/>
              </w:rPr>
              <w:t>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Pr>
                <w:rFonts w:ascii="Arial" w:hAnsi="Arial" w:cs="Arial"/>
                <w:sz w:val="20"/>
                <w:szCs w:val="20"/>
                <w:vertAlign w:val="baseline"/>
              </w:rPr>
              <w:t>Sintetičko ulje za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Pr>
                <w:rFonts w:ascii="Arial" w:hAnsi="Arial" w:cs="Arial"/>
                <w:sz w:val="20"/>
                <w:szCs w:val="20"/>
                <w:vertAlign w:val="baseline"/>
              </w:rPr>
              <w:t>SAE 75W-80, API GL 4, MAN 341 typ Z4, ZF-TE-ML-01L-02L-16K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200 lit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36</w:t>
            </w:r>
            <w:r w:rsidRPr="007C139F">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DOT 3;</w:t>
            </w:r>
          </w:p>
          <w:p w:rsidR="00DD763F" w:rsidRPr="007C139F" w:rsidRDefault="00DD763F" w:rsidP="00DD763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ind w:right="-115"/>
              <w:rPr>
                <w:rFonts w:ascii="Arial" w:hAnsi="Arial" w:cs="Arial"/>
                <w:vertAlign w:val="baseline"/>
              </w:rPr>
            </w:pPr>
            <w:r>
              <w:rPr>
                <w:rFonts w:ascii="Arial" w:hAnsi="Arial" w:cs="Arial"/>
                <w:sz w:val="22"/>
                <w:szCs w:val="22"/>
                <w:vertAlign w:val="baseline"/>
              </w:rPr>
              <w:t>1</w:t>
            </w:r>
            <w:r w:rsidRPr="007C139F">
              <w:rPr>
                <w:rFonts w:ascii="Arial" w:hAnsi="Arial" w:cs="Arial"/>
                <w:sz w:val="22"/>
                <w:szCs w:val="22"/>
                <w:vertAlign w:val="baseline"/>
              </w:rPr>
              <w:t>00</w:t>
            </w:r>
            <w:r>
              <w:rPr>
                <w:rFonts w:ascii="Arial" w:hAnsi="Arial" w:cs="Arial"/>
                <w:sz w:val="22"/>
                <w:szCs w:val="22"/>
                <w:vertAlign w:val="baseline"/>
              </w:rPr>
              <w:t xml:space="preserve">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C139F"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660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VW Code G12</w:t>
            </w:r>
            <w:r w:rsidRPr="00717209">
              <w:rPr>
                <w:rFonts w:ascii="Arial" w:hAnsi="Arial" w:cs="Arial"/>
                <w:sz w:val="20"/>
                <w:szCs w:val="20"/>
                <w:vertAlign w:val="baseline"/>
              </w:rPr>
              <w:t>,</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220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ind w:right="-108"/>
              <w:rPr>
                <w:rFonts w:ascii="Arial" w:hAnsi="Arial" w:cs="Arial"/>
                <w:sz w:val="20"/>
                <w:szCs w:val="20"/>
                <w:vertAlign w:val="baseline"/>
              </w:rPr>
            </w:pPr>
            <w:r>
              <w:rPr>
                <w:rFonts w:ascii="Arial" w:hAnsi="Arial" w:cs="Arial"/>
                <w:sz w:val="20"/>
                <w:szCs w:val="20"/>
                <w:vertAlign w:val="baseline"/>
              </w:rPr>
              <w:t>ISO L-HV</w:t>
            </w:r>
          </w:p>
          <w:p w:rsidR="00DD763F" w:rsidRDefault="00DD763F" w:rsidP="00DD763F">
            <w:pPr>
              <w:ind w:right="-108"/>
              <w:rPr>
                <w:rFonts w:ascii="Arial" w:hAnsi="Arial" w:cs="Arial"/>
                <w:b/>
                <w:sz w:val="20"/>
                <w:szCs w:val="20"/>
                <w:vertAlign w:val="baseline"/>
              </w:rPr>
            </w:pPr>
            <w:r w:rsidRPr="00717209">
              <w:rPr>
                <w:rFonts w:ascii="Arial" w:hAnsi="Arial" w:cs="Arial"/>
                <w:sz w:val="20"/>
                <w:szCs w:val="20"/>
                <w:vertAlign w:val="baseline"/>
              </w:rPr>
              <w:t>DIN 51524-3 HLP</w:t>
            </w:r>
            <w:r>
              <w:rPr>
                <w:rFonts w:ascii="Arial" w:hAnsi="Arial" w:cs="Arial"/>
                <w:b/>
                <w:sz w:val="20"/>
                <w:szCs w:val="20"/>
                <w:vertAlign w:val="baseline"/>
              </w:rPr>
              <w:t xml:space="preserve"> Odobrenje </w:t>
            </w:r>
          </w:p>
          <w:p w:rsidR="00DD763F" w:rsidRPr="00541B10" w:rsidRDefault="00DD763F" w:rsidP="00DD763F">
            <w:pPr>
              <w:ind w:right="-108"/>
              <w:rPr>
                <w:rFonts w:ascii="Arial" w:hAnsi="Arial" w:cs="Arial"/>
                <w:b/>
                <w:sz w:val="20"/>
                <w:szCs w:val="20"/>
                <w:vertAlign w:val="baseline"/>
              </w:rPr>
            </w:pPr>
            <w:r>
              <w:rPr>
                <w:rFonts w:ascii="Arial" w:hAnsi="Arial" w:cs="Arial"/>
                <w:b/>
                <w:sz w:val="20"/>
                <w:szCs w:val="20"/>
                <w:vertAlign w:val="baseline"/>
              </w:rPr>
              <w:t>Bosch-Rexroth RE 90220</w:t>
            </w:r>
          </w:p>
          <w:p w:rsidR="00DD763F" w:rsidRDefault="00DD763F" w:rsidP="00DD763F">
            <w:pPr>
              <w:ind w:right="-108"/>
              <w:rPr>
                <w:rFonts w:ascii="Arial" w:hAnsi="Arial" w:cs="Arial"/>
                <w:sz w:val="20"/>
                <w:szCs w:val="20"/>
                <w:vertAlign w:val="baseline"/>
              </w:rPr>
            </w:pPr>
          </w:p>
          <w:p w:rsidR="00DD763F" w:rsidRPr="00717209"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ind w:right="-115"/>
              <w:rPr>
                <w:rFonts w:ascii="Arial" w:hAnsi="Arial" w:cs="Arial"/>
                <w:vertAlign w:val="baseline"/>
              </w:rPr>
            </w:pPr>
            <w:r>
              <w:rPr>
                <w:rFonts w:ascii="Arial" w:hAnsi="Arial" w:cs="Arial"/>
                <w:sz w:val="22"/>
                <w:szCs w:val="22"/>
                <w:vertAlign w:val="baseline"/>
              </w:rPr>
              <w:t>1800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rPr>
                <w:rFonts w:ascii="Arial" w:hAnsi="Arial" w:cs="Arial"/>
                <w:sz w:val="20"/>
                <w:szCs w:val="20"/>
                <w:vertAlign w:val="baseline"/>
              </w:rPr>
            </w:pPr>
            <w:r w:rsidRPr="00717209">
              <w:rPr>
                <w:rFonts w:ascii="Arial" w:hAnsi="Arial" w:cs="Arial"/>
                <w:sz w:val="20"/>
                <w:szCs w:val="20"/>
                <w:vertAlign w:val="baseline"/>
              </w:rPr>
              <w:t xml:space="preserve">Litijumska mast sa EP aditivom, otporna na </w:t>
            </w:r>
            <w:r w:rsidRPr="00717209">
              <w:rPr>
                <w:rFonts w:ascii="Arial" w:hAnsi="Arial" w:cs="Arial"/>
                <w:sz w:val="20"/>
                <w:szCs w:val="20"/>
                <w:vertAlign w:val="baseline"/>
              </w:rPr>
              <w:lastRenderedPageBreak/>
              <w:t>ispiranje vodom, pogodna za podmazivanje lezajeva pod velikim opterećenjem</w:t>
            </w:r>
          </w:p>
          <w:p w:rsidR="00DD763F" w:rsidRPr="00717209" w:rsidRDefault="00DD763F" w:rsidP="00DD763F">
            <w:pPr>
              <w:rPr>
                <w:rFonts w:ascii="Arial" w:hAnsi="Arial" w:cs="Arial"/>
                <w:sz w:val="20"/>
                <w:szCs w:val="20"/>
                <w:vertAlign w:val="baselin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lastRenderedPageBreak/>
              <w:t xml:space="preserve">ISO 6743-9 </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lastRenderedPageBreak/>
              <w:t>12</w:t>
            </w:r>
            <w:r w:rsidRPr="00717209">
              <w:rPr>
                <w:rFonts w:ascii="Arial" w:hAnsi="Arial" w:cs="Arial"/>
                <w:sz w:val="22"/>
                <w:szCs w:val="22"/>
                <w:vertAlign w:val="baseline"/>
              </w:rPr>
              <w:t>0</w:t>
            </w:r>
            <w:r>
              <w:rPr>
                <w:rFonts w:ascii="Arial" w:hAnsi="Arial" w:cs="Arial"/>
                <w:sz w:val="22"/>
                <w:szCs w:val="22"/>
                <w:vertAlign w:val="baseline"/>
              </w:rPr>
              <w:t xml:space="preserve"> kg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Pr>
                <w:rFonts w:ascii="Arial" w:hAnsi="Arial" w:cs="Arial"/>
                <w:sz w:val="20"/>
                <w:szCs w:val="20"/>
                <w:vertAlign w:val="baseline"/>
              </w:rPr>
              <w:t>DIN 51502;</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KP2K-30;</w:t>
            </w:r>
          </w:p>
          <w:p w:rsidR="00DD763F"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ISO 6743-9</w:t>
            </w:r>
          </w:p>
          <w:p w:rsidR="00DD763F" w:rsidRPr="00717209" w:rsidRDefault="00DD763F" w:rsidP="00DD763F">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717209" w:rsidRDefault="00DD763F" w:rsidP="00DD763F">
            <w:pPr>
              <w:jc w:val="center"/>
              <w:rPr>
                <w:rFonts w:ascii="Arial" w:hAnsi="Arial" w:cs="Arial"/>
                <w:vertAlign w:val="baseline"/>
              </w:rPr>
            </w:pPr>
            <w:r>
              <w:rPr>
                <w:rFonts w:ascii="Arial" w:hAnsi="Arial" w:cs="Arial"/>
                <w:sz w:val="22"/>
                <w:szCs w:val="22"/>
                <w:vertAlign w:val="baseline"/>
              </w:rPr>
              <w:t>50 kom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717209" w:rsidRDefault="00DD763F" w:rsidP="00DD763F">
            <w:pPr>
              <w:rPr>
                <w:rFonts w:ascii="Arial" w:hAnsi="Arial" w:cs="Arial"/>
                <w:sz w:val="20"/>
                <w:szCs w:val="20"/>
                <w:vertAlign w:val="baseline"/>
              </w:rPr>
            </w:pPr>
            <w:r w:rsidRPr="00202EEE">
              <w:rPr>
                <w:rFonts w:ascii="Arial" w:hAnsi="Arial" w:cs="Arial"/>
                <w:sz w:val="20"/>
                <w:szCs w:val="20"/>
                <w:vertAlign w:val="baseline"/>
              </w:rPr>
              <w:t>Destilovana voda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300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Default="00DD763F" w:rsidP="00DD763F">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817D27" w:rsidRDefault="00DD763F" w:rsidP="00DD763F">
            <w:pPr>
              <w:pStyle w:val="ListParagraph"/>
              <w:numPr>
                <w:ilvl w:val="0"/>
                <w:numId w:val="2"/>
              </w:numPr>
              <w:contextualSpacing/>
              <w:rPr>
                <w:rFonts w:ascii="Arial" w:eastAsia="Calibri" w:hAnsi="Arial" w:cs="Arial"/>
                <w:sz w:val="20"/>
                <w:szCs w:val="20"/>
                <w:vertAlign w:val="baseline"/>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rPr>
                <w:rFonts w:ascii="Arial" w:hAnsi="Arial" w:cs="Arial"/>
                <w:sz w:val="20"/>
                <w:szCs w:val="20"/>
                <w:vertAlign w:val="baseline"/>
              </w:rPr>
            </w:pPr>
            <w:r w:rsidRPr="00202EEE">
              <w:rPr>
                <w:rFonts w:ascii="Arial" w:hAnsi="Arial" w:cs="Arial"/>
                <w:sz w:val="20"/>
                <w:szCs w:val="20"/>
                <w:vertAlign w:val="baseline"/>
              </w:rPr>
              <w:t>Tecnost za pranje vozila - autošampon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D763F" w:rsidRPr="00202EEE" w:rsidRDefault="00DD763F" w:rsidP="00DD763F">
            <w:pPr>
              <w:ind w:right="-108"/>
              <w:rPr>
                <w:rFonts w:ascii="Arial" w:hAnsi="Arial" w:cs="Arial"/>
                <w:sz w:val="20"/>
                <w:szCs w:val="20"/>
                <w:vertAlign w:val="baseli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Default="00DD763F" w:rsidP="00DD763F">
            <w:pPr>
              <w:jc w:val="center"/>
              <w:rPr>
                <w:rFonts w:ascii="Arial" w:hAnsi="Arial" w:cs="Arial"/>
                <w:vertAlign w:val="baseline"/>
              </w:rPr>
            </w:pPr>
            <w:r>
              <w:rPr>
                <w:rFonts w:ascii="Arial" w:hAnsi="Arial" w:cs="Arial"/>
                <w:sz w:val="22"/>
                <w:szCs w:val="22"/>
                <w:vertAlign w:val="baseline"/>
              </w:rPr>
              <w:t>200 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D763F" w:rsidRPr="007C139F" w:rsidRDefault="00DD763F" w:rsidP="00DD763F">
            <w:pPr>
              <w:rPr>
                <w:rFonts w:ascii="Arial" w:hAnsi="Arial" w:cs="Arial"/>
                <w:sz w:val="20"/>
                <w:szCs w:val="20"/>
              </w:rPr>
            </w:pPr>
          </w:p>
        </w:tc>
      </w:tr>
      <w:tr w:rsidR="00DD763F" w:rsidRPr="00FE449F" w:rsidTr="00DD763F">
        <w:trPr>
          <w:trHeight w:val="761"/>
        </w:trPr>
        <w:tc>
          <w:tcPr>
            <w:tcW w:w="83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B00508" w:rsidRDefault="00DD763F" w:rsidP="00DD763F">
            <w:pPr>
              <w:rPr>
                <w:rFonts w:ascii="Arial" w:eastAsia="Calibri" w:hAnsi="Arial" w:cs="Arial"/>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763F" w:rsidRPr="00FE449F" w:rsidRDefault="00DD763F" w:rsidP="00DD763F">
            <w:pPr>
              <w:ind w:left="2"/>
              <w:rPr>
                <w:rFonts w:ascii="Arial" w:eastAsia="Calibri" w:hAnsi="Arial" w:cs="Arial"/>
                <w:vertAlign w:val="baseline"/>
                <w:lang w:val="en-US"/>
              </w:rPr>
            </w:pPr>
            <w:r w:rsidRPr="00FE449F">
              <w:rPr>
                <w:rFonts w:ascii="Arial" w:eastAsia="Calibri" w:hAnsi="Arial" w:cs="Arial"/>
                <w:sz w:val="22"/>
                <w:szCs w:val="22"/>
                <w:vertAlign w:val="baseline"/>
                <w:lang w:val="en-US"/>
              </w:rPr>
              <w:t xml:space="preserve"> </w:t>
            </w:r>
          </w:p>
        </w:tc>
      </w:tr>
    </w:tbl>
    <w:p w:rsidR="00DD763F" w:rsidRDefault="00DD763F" w:rsidP="00DD763F">
      <w:pPr>
        <w:autoSpaceDE w:val="0"/>
        <w:autoSpaceDN w:val="0"/>
        <w:adjustRightInd w:val="0"/>
        <w:rPr>
          <w:rFonts w:ascii="Arial" w:hAnsi="Arial" w:cs="Arial"/>
          <w:b/>
          <w:bCs/>
          <w:noProof/>
          <w:color w:val="000000"/>
          <w:sz w:val="22"/>
          <w:szCs w:val="22"/>
          <w:vertAlign w:val="baseline"/>
          <w:lang w:val="sr-Cyrl-CS" w:eastAsia="sr-Latn-CS"/>
        </w:rPr>
      </w:pPr>
    </w:p>
    <w:p w:rsidR="00DD763F" w:rsidRPr="006B522A" w:rsidRDefault="00DD763F" w:rsidP="00DD763F">
      <w:pPr>
        <w:rPr>
          <w:b/>
          <w:sz w:val="44"/>
          <w:szCs w:val="44"/>
          <w:u w:val="single"/>
        </w:rPr>
      </w:pPr>
      <w:r w:rsidRPr="006B522A">
        <w:rPr>
          <w:b/>
          <w:sz w:val="44"/>
          <w:szCs w:val="44"/>
          <w:u w:val="single"/>
        </w:rPr>
        <w:t>O</w:t>
      </w:r>
      <w:r>
        <w:rPr>
          <w:b/>
          <w:sz w:val="44"/>
          <w:szCs w:val="44"/>
          <w:u w:val="single"/>
        </w:rPr>
        <w:t>BAVEZNO</w:t>
      </w:r>
      <w:r w:rsidRPr="006B522A">
        <w:rPr>
          <w:b/>
          <w:sz w:val="44"/>
          <w:szCs w:val="44"/>
          <w:u w:val="single"/>
        </w:rPr>
        <w:t xml:space="preserve"> :</w:t>
      </w:r>
    </w:p>
    <w:p w:rsidR="00DD763F" w:rsidRPr="006B522A" w:rsidRDefault="00DD763F" w:rsidP="00DD763F">
      <w:pPr>
        <w:pStyle w:val="ListParagraph"/>
        <w:numPr>
          <w:ilvl w:val="0"/>
          <w:numId w:val="3"/>
        </w:numPr>
        <w:spacing w:before="120" w:after="120"/>
        <w:contextualSpacing/>
        <w:rPr>
          <w:b/>
          <w:sz w:val="36"/>
          <w:szCs w:val="36"/>
        </w:rPr>
      </w:pPr>
      <w:r w:rsidRPr="006B522A">
        <w:rPr>
          <w:b/>
          <w:sz w:val="36"/>
          <w:szCs w:val="36"/>
        </w:rPr>
        <w:t>Da se dostavi važeće</w:t>
      </w:r>
      <w:r>
        <w:rPr>
          <w:b/>
          <w:sz w:val="36"/>
          <w:szCs w:val="36"/>
        </w:rPr>
        <w:t xml:space="preserve"> </w:t>
      </w:r>
      <w:r w:rsidRPr="006B522A">
        <w:rPr>
          <w:b/>
          <w:sz w:val="36"/>
          <w:szCs w:val="36"/>
        </w:rPr>
        <w:t xml:space="preserve"> </w:t>
      </w:r>
      <w:r>
        <w:rPr>
          <w:b/>
          <w:sz w:val="36"/>
          <w:szCs w:val="36"/>
        </w:rPr>
        <w:t xml:space="preserve">i </w:t>
      </w:r>
      <w:r w:rsidRPr="006B522A">
        <w:rPr>
          <w:b/>
          <w:sz w:val="36"/>
          <w:szCs w:val="36"/>
        </w:rPr>
        <w:t xml:space="preserve"> prevedeno na </w:t>
      </w:r>
      <w:r>
        <w:rPr>
          <w:b/>
          <w:sz w:val="36"/>
          <w:szCs w:val="36"/>
        </w:rPr>
        <w:t>s</w:t>
      </w:r>
      <w:r w:rsidRPr="006B522A">
        <w:rPr>
          <w:b/>
          <w:sz w:val="36"/>
          <w:szCs w:val="36"/>
        </w:rPr>
        <w:t xml:space="preserve">rpski </w:t>
      </w:r>
      <w:r>
        <w:rPr>
          <w:b/>
          <w:sz w:val="36"/>
          <w:szCs w:val="36"/>
        </w:rPr>
        <w:t xml:space="preserve"> jezik  </w:t>
      </w:r>
      <w:r w:rsidRPr="006B522A">
        <w:rPr>
          <w:b/>
          <w:sz w:val="36"/>
          <w:szCs w:val="36"/>
        </w:rPr>
        <w:t xml:space="preserve">uverenje </w:t>
      </w:r>
      <w:r>
        <w:rPr>
          <w:b/>
          <w:sz w:val="36"/>
          <w:szCs w:val="36"/>
        </w:rPr>
        <w:t xml:space="preserve"> </w:t>
      </w:r>
      <w:r w:rsidRPr="006B522A">
        <w:rPr>
          <w:b/>
          <w:sz w:val="36"/>
          <w:szCs w:val="36"/>
        </w:rPr>
        <w:t xml:space="preserve">ISO 9001 </w:t>
      </w:r>
      <w:r>
        <w:rPr>
          <w:b/>
          <w:sz w:val="36"/>
          <w:szCs w:val="36"/>
        </w:rPr>
        <w:t xml:space="preserve"> i </w:t>
      </w:r>
      <w:r w:rsidRPr="006B522A">
        <w:rPr>
          <w:b/>
          <w:sz w:val="36"/>
          <w:szCs w:val="36"/>
        </w:rPr>
        <w:t xml:space="preserve"> </w:t>
      </w:r>
      <w:r>
        <w:rPr>
          <w:b/>
          <w:sz w:val="36"/>
          <w:szCs w:val="36"/>
        </w:rPr>
        <w:t xml:space="preserve"> </w:t>
      </w:r>
      <w:r w:rsidRPr="006B522A">
        <w:rPr>
          <w:b/>
          <w:sz w:val="36"/>
          <w:szCs w:val="36"/>
        </w:rPr>
        <w:t>ISO14001</w:t>
      </w:r>
      <w:r>
        <w:rPr>
          <w:b/>
          <w:sz w:val="36"/>
          <w:szCs w:val="36"/>
        </w:rPr>
        <w:t xml:space="preserve"> </w:t>
      </w:r>
      <w:r w:rsidRPr="006B522A">
        <w:rPr>
          <w:b/>
          <w:sz w:val="36"/>
          <w:szCs w:val="36"/>
        </w:rPr>
        <w:t xml:space="preserve"> za ponudjača </w:t>
      </w:r>
      <w:r>
        <w:rPr>
          <w:b/>
          <w:sz w:val="36"/>
          <w:szCs w:val="36"/>
        </w:rPr>
        <w:t xml:space="preserve">i </w:t>
      </w:r>
      <w:r w:rsidRPr="006B522A">
        <w:rPr>
          <w:b/>
          <w:sz w:val="36"/>
          <w:szCs w:val="36"/>
        </w:rPr>
        <w:t xml:space="preserve"> proizvodjača</w:t>
      </w:r>
    </w:p>
    <w:p w:rsidR="00DD763F" w:rsidRPr="006B522A" w:rsidRDefault="00DD763F" w:rsidP="00DD763F">
      <w:pPr>
        <w:pStyle w:val="ListParagraph"/>
        <w:numPr>
          <w:ilvl w:val="0"/>
          <w:numId w:val="3"/>
        </w:numPr>
        <w:contextualSpacing/>
        <w:rPr>
          <w:b/>
          <w:sz w:val="36"/>
          <w:szCs w:val="36"/>
        </w:rPr>
      </w:pPr>
      <w:r w:rsidRPr="006B522A">
        <w:rPr>
          <w:b/>
          <w:sz w:val="36"/>
          <w:szCs w:val="36"/>
        </w:rPr>
        <w:t xml:space="preserve">Za stavku </w:t>
      </w:r>
      <w:r>
        <w:rPr>
          <w:b/>
          <w:sz w:val="36"/>
          <w:szCs w:val="36"/>
        </w:rPr>
        <w:t xml:space="preserve">  </w:t>
      </w:r>
      <w:r w:rsidRPr="006B522A">
        <w:rPr>
          <w:b/>
          <w:sz w:val="36"/>
          <w:szCs w:val="36"/>
        </w:rPr>
        <w:t xml:space="preserve">11 </w:t>
      </w:r>
      <w:r>
        <w:rPr>
          <w:b/>
          <w:sz w:val="36"/>
          <w:szCs w:val="36"/>
        </w:rPr>
        <w:t xml:space="preserve"> </w:t>
      </w:r>
      <w:r w:rsidRPr="006B522A">
        <w:rPr>
          <w:b/>
          <w:sz w:val="36"/>
          <w:szCs w:val="36"/>
        </w:rPr>
        <w:t xml:space="preserve">dostaviti u pisanoj formi </w:t>
      </w:r>
      <w:r>
        <w:rPr>
          <w:b/>
          <w:sz w:val="36"/>
          <w:szCs w:val="36"/>
        </w:rPr>
        <w:t xml:space="preserve"> </w:t>
      </w:r>
      <w:r w:rsidRPr="006B522A">
        <w:rPr>
          <w:b/>
          <w:sz w:val="36"/>
          <w:szCs w:val="36"/>
        </w:rPr>
        <w:t>i  prevedeno od strane sudskog tumača odobrenje proizvodjača Bosch-Rexroth RE 90220.</w:t>
      </w:r>
    </w:p>
    <w:p w:rsidR="00DD763F" w:rsidRPr="006B522A" w:rsidRDefault="00DD763F" w:rsidP="00DD763F">
      <w:pPr>
        <w:pStyle w:val="ListParagraph"/>
        <w:numPr>
          <w:ilvl w:val="0"/>
          <w:numId w:val="3"/>
        </w:numPr>
        <w:contextualSpacing/>
        <w:rPr>
          <w:b/>
          <w:sz w:val="36"/>
          <w:szCs w:val="36"/>
        </w:rPr>
      </w:pPr>
      <w:r w:rsidRPr="006B522A">
        <w:rPr>
          <w:b/>
          <w:sz w:val="36"/>
          <w:szCs w:val="36"/>
        </w:rPr>
        <w:t xml:space="preserve"> Dostaviti za partiju 1 važeći apruval MB 228.3 , preveden na </w:t>
      </w:r>
      <w:r>
        <w:rPr>
          <w:b/>
          <w:sz w:val="36"/>
          <w:szCs w:val="36"/>
        </w:rPr>
        <w:t>s</w:t>
      </w:r>
      <w:r w:rsidRPr="006B522A">
        <w:rPr>
          <w:b/>
          <w:sz w:val="36"/>
          <w:szCs w:val="36"/>
        </w:rPr>
        <w:t>rpski</w:t>
      </w:r>
      <w:r>
        <w:rPr>
          <w:b/>
          <w:sz w:val="36"/>
          <w:szCs w:val="36"/>
        </w:rPr>
        <w:t xml:space="preserve"> jezik</w:t>
      </w:r>
      <w:r w:rsidRPr="006B522A">
        <w:rPr>
          <w:b/>
          <w:sz w:val="36"/>
          <w:szCs w:val="36"/>
        </w:rPr>
        <w:t>.</w:t>
      </w:r>
    </w:p>
    <w:p w:rsidR="00DD763F" w:rsidRPr="006B522A" w:rsidRDefault="00DD763F" w:rsidP="00DD763F">
      <w:pPr>
        <w:rPr>
          <w:sz w:val="36"/>
          <w:szCs w:val="36"/>
        </w:rPr>
      </w:pPr>
    </w:p>
    <w:p w:rsidR="00DD763F" w:rsidRPr="008B41E3" w:rsidRDefault="00DD763F" w:rsidP="00DD763F"/>
    <w:p w:rsidR="00DD763F" w:rsidRDefault="00DD763F" w:rsidP="00DD763F"/>
    <w:p w:rsidR="00DD763F" w:rsidRPr="008B41E3" w:rsidRDefault="00DD763F" w:rsidP="00DD763F">
      <w:pPr>
        <w:tabs>
          <w:tab w:val="left" w:pos="6540"/>
        </w:tabs>
      </w:pPr>
      <w:r>
        <w:tab/>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00B00508">
        <w:rPr>
          <w:rFonts w:ascii="Arial" w:hAnsi="Arial" w:cs="Arial"/>
          <w:bCs/>
          <w:noProof/>
          <w:sz w:val="22"/>
          <w:szCs w:val="22"/>
          <w:vertAlign w:val="baseline"/>
          <w:lang w:val="sr-Cyrl-CS" w:eastAsia="sr-Latn-CS"/>
        </w:rPr>
        <w:t>_______</w:t>
      </w:r>
      <w:r w:rsidRPr="006B132C">
        <w:rPr>
          <w:rFonts w:ascii="Arial" w:hAnsi="Arial" w:cs="Arial"/>
          <w:b/>
          <w:bCs/>
          <w:noProof/>
          <w:sz w:val="22"/>
          <w:szCs w:val="22"/>
          <w:vertAlign w:val="baseline"/>
          <w:lang w:val="sr-Cyrl-CS" w:eastAsia="sr-Latn-CS"/>
        </w:rPr>
        <w:t>201</w:t>
      </w:r>
      <w:r w:rsidR="00B00508">
        <w:rPr>
          <w:rFonts w:ascii="Arial" w:hAnsi="Arial" w:cs="Arial"/>
          <w:b/>
          <w:bCs/>
          <w:noProof/>
          <w:sz w:val="22"/>
          <w:szCs w:val="22"/>
          <w:vertAlign w:val="baseline"/>
          <w:lang w:val="sr-Cyrl-CS" w:eastAsia="sr-Latn-CS"/>
        </w:rPr>
        <w:t>5</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324DDC">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xml:space="preserve">, објављеног </w:t>
      </w:r>
      <w:r w:rsidR="00223D1F">
        <w:rPr>
          <w:rFonts w:ascii="Arial" w:eastAsia="Calibri" w:hAnsi="Arial" w:cs="Arial"/>
          <w:sz w:val="22"/>
          <w:szCs w:val="22"/>
          <w:vertAlign w:val="baseline"/>
          <w:lang w:val="sr-Cyrl-CS"/>
        </w:rPr>
        <w:t>15.05.2015</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223D1F">
        <w:rPr>
          <w:rFonts w:ascii="Arial" w:eastAsia="Calibri" w:hAnsi="Arial" w:cs="Arial"/>
          <w:sz w:val="22"/>
          <w:szCs w:val="22"/>
          <w:vertAlign w:val="baseline"/>
          <w:lang w:val="sr-Cyrl-CS"/>
        </w:rPr>
        <w:t>3</w:t>
      </w:r>
      <w:r w:rsidR="00223D1F">
        <w:rPr>
          <w:rFonts w:ascii="Arial" w:eastAsia="Calibri" w:hAnsi="Arial" w:cs="Arial"/>
          <w:sz w:val="22"/>
          <w:szCs w:val="22"/>
          <w:vertAlign w:val="baseline"/>
        </w:rPr>
        <w:t>/201</w:t>
      </w:r>
      <w:r w:rsidR="00223D1F">
        <w:rPr>
          <w:rFonts w:ascii="Arial" w:eastAsia="Calibri" w:hAnsi="Arial" w:cs="Arial"/>
          <w:sz w:val="22"/>
          <w:szCs w:val="22"/>
          <w:vertAlign w:val="baseline"/>
          <w:lang w:val="sr-Cyrl-CS"/>
        </w:rPr>
        <w:t>5</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Pr="005B151F" w:rsidRDefault="008C6002" w:rsidP="005B151F">
      <w:pPr>
        <w:ind w:right="-15"/>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w:t>
      </w:r>
      <w:r w:rsidRPr="005B151F">
        <w:rPr>
          <w:rFonts w:ascii="Arial" w:eastAsia="Calibri" w:hAnsi="Arial" w:cs="Arial"/>
          <w:sz w:val="22"/>
          <w:szCs w:val="22"/>
          <w:vertAlign w:val="baseline"/>
        </w:rPr>
        <w:lastRenderedPageBreak/>
        <w:t>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ED26E7">
      <w:pPr>
        <w:ind w:right="14"/>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ED26E7">
        <w:rPr>
          <w:rFonts w:ascii="Arial" w:hAnsi="Arial" w:cs="Arial"/>
          <w:sz w:val="22"/>
          <w:szCs w:val="22"/>
          <w:vertAlign w:val="baseline"/>
          <w:lang w:val="sr-Cyrl-CS" w:eastAsia="ar-SA"/>
        </w:rPr>
        <w:t xml:space="preserve"> дана од дана фактурисања на рачун бр.____________код банке</w:t>
      </w:r>
      <w:r w:rsidR="000751B2" w:rsidRPr="00085B5F">
        <w:rPr>
          <w:rFonts w:ascii="Arial" w:hAnsi="Arial" w:cs="Arial"/>
          <w:sz w:val="22"/>
          <w:szCs w:val="22"/>
          <w:vertAlign w:val="baseline"/>
          <w:lang w:val="sr-Cyrl-CS" w:eastAsia="ar-SA"/>
        </w:rPr>
        <w:t>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Pr="005B151F" w:rsidRDefault="00EC21DE"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Pr>
          <w:rFonts w:ascii="Arial" w:hAnsi="Arial" w:cs="Arial"/>
          <w:sz w:val="22"/>
          <w:szCs w:val="22"/>
          <w:vertAlign w:val="baseline"/>
          <w:lang w:val="sr-Cyrl-CS" w:eastAsia="ar-SA"/>
        </w:rPr>
        <w:t>3</w:t>
      </w:r>
      <w:r>
        <w:rPr>
          <w:rFonts w:ascii="Arial" w:hAnsi="Arial" w:cs="Arial"/>
          <w:sz w:val="22"/>
          <w:szCs w:val="22"/>
          <w:vertAlign w:val="baseline"/>
          <w:lang w:eastAsia="ar-SA"/>
        </w:rPr>
        <w:t>/201</w:t>
      </w:r>
      <w:r>
        <w:rPr>
          <w:rFonts w:ascii="Arial" w:hAnsi="Arial" w:cs="Arial"/>
          <w:sz w:val="22"/>
          <w:szCs w:val="22"/>
          <w:vertAlign w:val="baseline"/>
          <w:lang w:val="sr-Cyrl-CS" w:eastAsia="ar-SA"/>
        </w:rPr>
        <w:t>5</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223D1F">
        <w:rPr>
          <w:rFonts w:ascii="Arial" w:hAnsi="Arial" w:cs="Arial"/>
          <w:sz w:val="22"/>
          <w:szCs w:val="22"/>
          <w:vertAlign w:val="baseline"/>
          <w:lang w:val="sr-Cyrl-CS" w:eastAsia="ar-SA"/>
        </w:rPr>
        <w:t>15.05.2015</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223D1F">
        <w:rPr>
          <w:rFonts w:ascii="Arial" w:hAnsi="Arial" w:cs="Arial"/>
          <w:sz w:val="22"/>
          <w:szCs w:val="22"/>
          <w:vertAlign w:val="baseline"/>
          <w:lang w:val="sr-Cyrl-CS" w:eastAsia="ar-SA"/>
        </w:rPr>
        <w:t>3</w:t>
      </w:r>
      <w:r w:rsidR="00223D1F">
        <w:rPr>
          <w:rFonts w:ascii="Arial" w:hAnsi="Arial" w:cs="Arial"/>
          <w:sz w:val="22"/>
          <w:szCs w:val="22"/>
          <w:vertAlign w:val="baseline"/>
          <w:lang w:eastAsia="ar-SA"/>
        </w:rPr>
        <w:t>/201</w:t>
      </w:r>
      <w:r w:rsidR="00223D1F">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lastRenderedPageBreak/>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lastRenderedPageBreak/>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lastRenderedPageBreak/>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lastRenderedPageBreak/>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00324DDC">
        <w:rPr>
          <w:rFonts w:ascii="Arial" w:hAnsi="Arial" w:cs="Arial"/>
          <w:sz w:val="22"/>
          <w:szCs w:val="22"/>
          <w:vertAlign w:val="baseline"/>
          <w:lang w:val="sr-Cyrl-CS" w:eastAsia="ar-SA"/>
        </w:rPr>
        <w:t xml:space="preserve"> партија , објављеног 15.05.2015</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324DDC">
        <w:rPr>
          <w:rFonts w:ascii="Arial" w:hAnsi="Arial" w:cs="Arial"/>
          <w:sz w:val="22"/>
          <w:szCs w:val="22"/>
          <w:vertAlign w:val="baseline"/>
          <w:lang w:val="sr-Cyrl-CS" w:eastAsia="ar-SA"/>
        </w:rPr>
        <w:t>к јавне набавке добара, ЈН OП 03/2015</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lastRenderedPageBreak/>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E618AC">
        <w:rPr>
          <w:rFonts w:ascii="Arial" w:hAnsi="Arial" w:cs="Arial"/>
          <w:sz w:val="22"/>
          <w:szCs w:val="22"/>
          <w:vertAlign w:val="baseline"/>
          <w:lang w:val="sr-Cyrl-CS" w:eastAsia="ar-SA"/>
        </w:rPr>
        <w:t xml:space="preserve"> дана од дана фактурисања на рачун бр._____________________ </w:t>
      </w:r>
      <w:r w:rsidRPr="00085B5F">
        <w:rPr>
          <w:rFonts w:ascii="Arial" w:hAnsi="Arial" w:cs="Arial"/>
          <w:sz w:val="22"/>
          <w:szCs w:val="22"/>
          <w:vertAlign w:val="baseline"/>
          <w:lang w:val="sr-Cyrl-CS" w:eastAsia="ar-SA"/>
        </w:rPr>
        <w:t xml:space="preserve">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lastRenderedPageBreak/>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lastRenderedPageBreak/>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23493E" w:rsidP="008E02DA">
            <w:pPr>
              <w:spacing w:line="276" w:lineRule="auto"/>
              <w:jc w:val="center"/>
              <w:rPr>
                <w:rFonts w:ascii="Arial" w:eastAsia="Calibri" w:hAnsi="Arial" w:cs="Arial"/>
                <w:sz w:val="22"/>
                <w:szCs w:val="22"/>
                <w:vertAlign w:val="baseline"/>
                <w:lang w:val="en-US"/>
              </w:rPr>
            </w:pPr>
            <w:r>
              <w:rPr>
                <w:rFonts w:ascii="Arial" w:eastAsia="Calibri" w:hAnsi="Arial" w:cs="Arial"/>
                <w:sz w:val="22"/>
                <w:szCs w:val="22"/>
                <w:vertAlign w:val="baseline"/>
              </w:rPr>
              <w:t>5</w:t>
            </w:r>
            <w:r w:rsidR="000751B2" w:rsidRPr="000751B2">
              <w:rPr>
                <w:rFonts w:ascii="Arial" w:eastAsia="Calibri" w:hAnsi="Arial" w:cs="Arial"/>
                <w:sz w:val="22"/>
                <w:szCs w:val="22"/>
                <w:vertAlign w:val="baseline"/>
              </w:rPr>
              <w:t>.000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6"/>
        <w:gridCol w:w="2409"/>
        <w:gridCol w:w="1276"/>
      </w:tblGrid>
      <w:tr w:rsidR="008E02DA" w:rsidTr="008E02DA">
        <w:tc>
          <w:tcPr>
            <w:tcW w:w="817"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Destilovana voda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Tečnost za pranje vetrobranskog </w:t>
            </w:r>
            <w:r w:rsidRPr="008E02DA">
              <w:rPr>
                <w:rFonts w:ascii="Arial" w:hAnsi="Arial" w:cs="Arial"/>
                <w:sz w:val="20"/>
                <w:szCs w:val="20"/>
                <w:vertAlign w:val="baseline"/>
              </w:rPr>
              <w:lastRenderedPageBreak/>
              <w:t>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lastRenderedPageBreak/>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jc w:val="center"/>
              <w:rPr>
                <w:rFonts w:ascii="Arial" w:hAnsi="Arial" w:cs="Arial"/>
                <w:sz w:val="20"/>
                <w:szCs w:val="20"/>
                <w:vertAlign w:val="baseline"/>
              </w:rPr>
            </w:pPr>
            <w:r>
              <w:rPr>
                <w:rFonts w:ascii="Arial" w:hAnsi="Arial" w:cs="Arial"/>
                <w:sz w:val="20"/>
                <w:szCs w:val="20"/>
                <w:vertAlign w:val="baseline"/>
              </w:rPr>
              <w:lastRenderedPageBreak/>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Tecnost za pranje vozila - autošampon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24DDC">
        <w:rPr>
          <w:rFonts w:ascii="Arial" w:hAnsi="Arial" w:cs="Arial"/>
          <w:b/>
          <w:noProof/>
          <w:sz w:val="22"/>
          <w:szCs w:val="22"/>
          <w:vertAlign w:val="baseline"/>
          <w:lang w:val="sr-Cyrl-CS"/>
        </w:rPr>
        <w:t>3</w:t>
      </w:r>
      <w:r w:rsidR="0058740E" w:rsidRPr="006B132C">
        <w:rPr>
          <w:rFonts w:ascii="Arial" w:hAnsi="Arial" w:cs="Arial"/>
          <w:b/>
          <w:noProof/>
          <w:sz w:val="22"/>
          <w:szCs w:val="22"/>
          <w:vertAlign w:val="baseline"/>
          <w:lang w:val="sr-Cyrl-CS"/>
        </w:rPr>
        <w:t>/201</w:t>
      </w:r>
      <w:r w:rsidR="00324DDC">
        <w:rPr>
          <w:rFonts w:ascii="Arial" w:hAnsi="Arial" w:cs="Arial"/>
          <w:b/>
          <w:noProof/>
          <w:sz w:val="22"/>
          <w:szCs w:val="22"/>
          <w:vertAlign w:val="baseline"/>
          <w:lang w:val="sr-Cyrl-CS"/>
        </w:rPr>
        <w:t>5</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6B132C" w:rsidRDefault="0058740E" w:rsidP="00B917F1">
      <w:pPr>
        <w:autoSpaceDE w:val="0"/>
        <w:autoSpaceDN w:val="0"/>
        <w:adjustRightInd w:val="0"/>
        <w:rPr>
          <w:rFonts w:ascii="Arial" w:hAnsi="Arial" w:cs="Arial"/>
          <w:bCs/>
          <w:sz w:val="22"/>
          <w:szCs w:val="22"/>
          <w:vertAlign w:val="baseline"/>
          <w:lang w:val="ru-RU"/>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EF" w:rsidRDefault="001370EF">
      <w:r>
        <w:separator/>
      </w:r>
    </w:p>
  </w:endnote>
  <w:endnote w:type="continuationSeparator" w:id="0">
    <w:p w:rsidR="001370EF" w:rsidRDefault="0013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Default="00EA0316" w:rsidP="00DB481C">
    <w:pPr>
      <w:pStyle w:val="Footer"/>
      <w:framePr w:wrap="around" w:vAnchor="text" w:hAnchor="margin" w:xAlign="center" w:y="1"/>
      <w:rPr>
        <w:rStyle w:val="PageNumber"/>
      </w:rPr>
    </w:pPr>
    <w:r>
      <w:rPr>
        <w:rStyle w:val="PageNumber"/>
      </w:rPr>
      <w:fldChar w:fldCharType="begin"/>
    </w:r>
    <w:r w:rsidR="00DD763F">
      <w:rPr>
        <w:rStyle w:val="PageNumber"/>
      </w:rPr>
      <w:instrText xml:space="preserve">PAGE  </w:instrText>
    </w:r>
    <w:r>
      <w:rPr>
        <w:rStyle w:val="PageNumber"/>
      </w:rPr>
      <w:fldChar w:fldCharType="end"/>
    </w:r>
  </w:p>
  <w:p w:rsidR="00DD763F" w:rsidRDefault="00DD7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CB5A37" w:rsidRDefault="00EA0316"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DD763F"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E86327">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DD763F" w:rsidRPr="00D87A6A" w:rsidRDefault="00DD763F"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r w:rsidR="001370EF">
      <w:fldChar w:fldCharType="begin"/>
    </w:r>
    <w:r w:rsidR="001370EF">
      <w:instrText xml:space="preserve"> NUMPAGES   \* MERGEFORMAT </w:instrText>
    </w:r>
    <w:r w:rsidR="001370EF">
      <w:fldChar w:fldCharType="separate"/>
    </w:r>
    <w:r w:rsidR="00E86327" w:rsidRPr="00E86327">
      <w:rPr>
        <w:rFonts w:ascii="Arial" w:hAnsi="Arial" w:cs="Arial"/>
        <w:i/>
        <w:noProof/>
        <w:sz w:val="20"/>
        <w:szCs w:val="20"/>
        <w:vertAlign w:val="baseline"/>
        <w:lang w:val="sr-Cyrl-CS"/>
      </w:rPr>
      <w:t>54</w:t>
    </w:r>
    <w:r w:rsidR="001370EF">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EF" w:rsidRDefault="001370EF">
      <w:r>
        <w:separator/>
      </w:r>
    </w:p>
  </w:footnote>
  <w:footnote w:type="continuationSeparator" w:id="0">
    <w:p w:rsidR="001370EF" w:rsidRDefault="0013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3F" w:rsidRPr="000758E4" w:rsidRDefault="00DD763F"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4C5572"/>
    <w:multiLevelType w:val="hybridMultilevel"/>
    <w:tmpl w:val="777443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BA828B7"/>
    <w:multiLevelType w:val="hybridMultilevel"/>
    <w:tmpl w:val="65E0C25E"/>
    <w:lvl w:ilvl="0" w:tplc="F6221524">
      <w:start w:val="1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0F75"/>
    <w:rsid w:val="000C105F"/>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370EF"/>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493E"/>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A072B"/>
    <w:rsid w:val="002A73F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0427"/>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46C6"/>
    <w:rsid w:val="004E4F24"/>
    <w:rsid w:val="004F187D"/>
    <w:rsid w:val="004F2507"/>
    <w:rsid w:val="004F2ED1"/>
    <w:rsid w:val="00503611"/>
    <w:rsid w:val="00505787"/>
    <w:rsid w:val="00510821"/>
    <w:rsid w:val="00512F5E"/>
    <w:rsid w:val="005237E6"/>
    <w:rsid w:val="00524600"/>
    <w:rsid w:val="00530C06"/>
    <w:rsid w:val="005355F7"/>
    <w:rsid w:val="005376F2"/>
    <w:rsid w:val="00540B0A"/>
    <w:rsid w:val="00542FB5"/>
    <w:rsid w:val="00551548"/>
    <w:rsid w:val="00555F2A"/>
    <w:rsid w:val="0056604D"/>
    <w:rsid w:val="00570169"/>
    <w:rsid w:val="005706DB"/>
    <w:rsid w:val="00573343"/>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86F15"/>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4ECA"/>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6F7A"/>
    <w:rsid w:val="00A21183"/>
    <w:rsid w:val="00A22BEA"/>
    <w:rsid w:val="00A27114"/>
    <w:rsid w:val="00A2723B"/>
    <w:rsid w:val="00A30A92"/>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2507"/>
    <w:rsid w:val="00B659E8"/>
    <w:rsid w:val="00B70DDD"/>
    <w:rsid w:val="00B71A81"/>
    <w:rsid w:val="00B72D80"/>
    <w:rsid w:val="00B7415A"/>
    <w:rsid w:val="00B8023F"/>
    <w:rsid w:val="00B847CE"/>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46C1B"/>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644B"/>
    <w:rsid w:val="00C97B4F"/>
    <w:rsid w:val="00C97D25"/>
    <w:rsid w:val="00CA5CDE"/>
    <w:rsid w:val="00CB305B"/>
    <w:rsid w:val="00CB3A04"/>
    <w:rsid w:val="00CB5A37"/>
    <w:rsid w:val="00CB5CB2"/>
    <w:rsid w:val="00CC1D0E"/>
    <w:rsid w:val="00CC252C"/>
    <w:rsid w:val="00CC2F4E"/>
    <w:rsid w:val="00CC656F"/>
    <w:rsid w:val="00CD15DF"/>
    <w:rsid w:val="00CE2F07"/>
    <w:rsid w:val="00CF29E7"/>
    <w:rsid w:val="00CF35A1"/>
    <w:rsid w:val="00CF3955"/>
    <w:rsid w:val="00CF494E"/>
    <w:rsid w:val="00CF5EF6"/>
    <w:rsid w:val="00D01DE4"/>
    <w:rsid w:val="00D14372"/>
    <w:rsid w:val="00D26147"/>
    <w:rsid w:val="00D310D7"/>
    <w:rsid w:val="00D32577"/>
    <w:rsid w:val="00D33B47"/>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3F"/>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18AC"/>
    <w:rsid w:val="00E62A71"/>
    <w:rsid w:val="00E71483"/>
    <w:rsid w:val="00E72583"/>
    <w:rsid w:val="00E73E2C"/>
    <w:rsid w:val="00E763FE"/>
    <w:rsid w:val="00E8051B"/>
    <w:rsid w:val="00E81C58"/>
    <w:rsid w:val="00E855AE"/>
    <w:rsid w:val="00E856C4"/>
    <w:rsid w:val="00E85B6A"/>
    <w:rsid w:val="00E86327"/>
    <w:rsid w:val="00E944FD"/>
    <w:rsid w:val="00EA0316"/>
    <w:rsid w:val="00EA32EF"/>
    <w:rsid w:val="00EA4D39"/>
    <w:rsid w:val="00EB138B"/>
    <w:rsid w:val="00EB194B"/>
    <w:rsid w:val="00EC0F6F"/>
    <w:rsid w:val="00EC121B"/>
    <w:rsid w:val="00EC21DE"/>
    <w:rsid w:val="00EC5FC4"/>
    <w:rsid w:val="00EC789A"/>
    <w:rsid w:val="00EC7C86"/>
    <w:rsid w:val="00ED26E7"/>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6BD5"/>
    <w:rsid w:val="00F77461"/>
    <w:rsid w:val="00F80779"/>
    <w:rsid w:val="00F90D42"/>
    <w:rsid w:val="00F96C8B"/>
    <w:rsid w:val="00FA4A4A"/>
    <w:rsid w:val="00FA7825"/>
    <w:rsid w:val="00FA7E1D"/>
    <w:rsid w:val="00FB076E"/>
    <w:rsid w:val="00FB0C18"/>
    <w:rsid w:val="00FB2CF4"/>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B785-43C9-4ED0-8236-F4F52566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11565</Words>
  <Characters>65927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2014-04-09T17:03:00Z</cp:lastPrinted>
  <dcterms:created xsi:type="dcterms:W3CDTF">2015-06-08T11:03:00Z</dcterms:created>
  <dcterms:modified xsi:type="dcterms:W3CDTF">2015-06-08T11:03:00Z</dcterms:modified>
</cp:coreProperties>
</file>